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32"/>
        </w:rPr>
        <w:t>PLAN DE AMPLIACIÓN DEL SISTEMA DE VERIFICACIÓN APA</w:t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Verificación y corrección asistida de tesis en .docx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2"/>
        </w:rPr>
        <w:t>Revisión del documento «Revisión de documentos de Asesoría» y de la «Guía Normas APA 7.ª edición»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Sistema</w:t>
            </w:r>
          </w:p>
        </w:tc>
        <w:tc>
          <w:tcPr>
            <w:tcW w:type="dxa" w:w="720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APA Studio — verificador de documentos .docx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Base de código</w:t>
            </w:r>
          </w:p>
        </w:tc>
        <w:tc>
          <w:tcPr>
            <w:tcW w:type="dxa" w:w="720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FastAPI + python-docx + motor de reglas + vista tipo Word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Fuentes analizadas</w:t>
            </w:r>
          </w:p>
        </w:tc>
        <w:tc>
          <w:tcPr>
            <w:tcW w:type="dxa" w:w="720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inf/bosquejo.docx · inf/Guia-Normas-APA-7ma-edicion (1).pdf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Alcance de este documento</w:t>
            </w:r>
          </w:p>
        </w:tc>
        <w:tc>
          <w:tcPr>
            <w:tcW w:type="dxa" w:w="7200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Planificación. No incluye implementación.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ABD"/>
        </w:rPr>
        <w:t>1. Objetivo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Definir cómo debe evolucionar el sistema para cubrir el alcance operativo descrito en el documento de asesoría, que va más allá de validar el formato APA: incluye gestoría del encargo, cumplimiento de la normativa de cada universidad, control de versiones y seguimiento de las observaciones del asesor.</w:t>
      </w:r>
    </w:p>
    <w:p>
      <w:pPr>
        <w:pStyle w:val="Heading1"/>
      </w:pPr>
      <w:r>
        <w:rPr>
          <w:rFonts w:ascii="Times New Roman" w:hAnsi="Times New Roman"/>
          <w:color w:val="185ABD"/>
        </w:rPr>
        <w:t>2. Revisión del documento «bosquejo»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El documento de 105 párrafos estructura el servicio en dos bloques muy distintos, con lógicas diferentes.</w:t>
      </w:r>
    </w:p>
    <w:p>
      <w:pPr>
        <w:pStyle w:val="Heading2"/>
      </w:pPr>
      <w:r>
        <w:rPr>
          <w:rFonts w:ascii="Times New Roman" w:hAnsi="Times New Roman"/>
          <w:color w:val="185ABD"/>
        </w:rPr>
        <w:t>2.1 Bloque normativo — criterios APA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Detalla los controles que hoy exige la revisión formal y bibliográfica: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Papel Carta, márgenes de 2.54 cm en los cuatro lados.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Seis fuentes permitidas, con excepciones para figuras, código y notas al pie.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Texto alineado a la izquierda, interlineado doble y sangría de 0.5" (1.27 cm).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Sangría francesa de 1.27 cm en la lista de referencias.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Número de página en la esquina superior derecha, numeración desde la portada.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Cinco niveles de jerarquía de títulos con formato propio.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Sistema autor-fecha: cita narrativa y cita parentética.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Regla de autores: hasta dos se citan siempre; tres o más usan «et al.» desde la primera mención.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Autor corporativo: nombre completo y sigla entre corchetes en la primera cita.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Citas textuales con página obligatoria; bloque de 40 palabras o más sin comillas y con sangría.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Referencias en página nueva, título en negrita y centrado, orden alfabético.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Autores invertidos; hasta 20 autores se listan, más de 20 se listan 19 y el último.</w:t>
      </w:r>
    </w:p>
    <w:p>
      <w:pPr>
        <w:pStyle w:val="Heading2"/>
      </w:pPr>
      <w:r>
        <w:rPr>
          <w:rFonts w:ascii="Times New Roman" w:hAnsi="Times New Roman"/>
          <w:color w:val="185ABD"/>
        </w:rPr>
        <w:t>2.2 Bloque de gestión — proceso de asesoría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No es APA: es la operación de la asesoría, y es lo que el sistema no cubre.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Organizar archivos por versión, universidad, programa y nivel académico.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Exigir al cliente la guía metodológica o reglamento de tesis vigente.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Validar la estructura y el formato contra la plantilla de la facultad, no solo contra APA.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Revisar fondo y forma: coherencia interna, redacción académica y ortotipografía.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Control de versiones: comparar la versión previa con la actual.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Auditar las observaciones del asesor: anotaciones marginales, comentarios y fichas.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Extraer acuerdos de las reuniones grabadas y cruzarlos con lo escrito.</w:t>
      </w:r>
    </w:p>
    <w:p>
      <w:pPr>
        <w:pStyle w:val="Heading2"/>
      </w:pPr>
      <w:r>
        <w:rPr>
          <w:rFonts w:ascii="Times New Roman" w:hAnsi="Times New Roman"/>
          <w:color w:val="185ABD"/>
        </w:rPr>
        <w:t>2.3 Contraste con la «Guía Normas APA 7.ª edición» (57 páginas)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La guía, elaborada a partir de normas-apa.org, confirma la Almost的全部 criterios del bloque normativo. Se verificaron dos puntos sensibles: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Los 20 autores y la regla de 19 + puntos suspensivos + último autor son el cambio de la 7.ª edición respecto de la 6.ª. El bosquejo lo recoge correctamente (pág. 47 de la guía).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La redacción del bosquejo pide «Cada Palabra Iniciando en Mayúscula» también en el nivel 3. La guía pide ese estilo en los niveles 1 y 2; el nivel 3 añade cursiva, no mayúsculas adicionales. No es un conflicto, pero conviene separarlo en el validador.</w:t>
      </w:r>
    </w:p>
    <w:p>
      <w:pPr>
        <w:spacing w:after="0"/>
      </w:pPr>
      <w:r>
        <w:rPr>
          <w:rFonts w:ascii="Times New Roman" w:hAnsi="Times New Roman"/>
          <w:b/>
          <w:i w:val="0"/>
          <w:sz w:val="24"/>
        </w:rPr>
        <w:t>Conclusión: el bosquejo es un documento de requisitos fiable y utilizable como especificación. Sirve como checklist contra el que medir el sistema.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ABD"/>
        </w:rPr>
        <w:t>3. Brecha actual frente a los requisitos</w:t>
      </w:r>
    </w:p>
    <w:p>
      <w:pPr>
        <w:pStyle w:val="Heading2"/>
      </w:pPr>
      <w:r>
        <w:rPr>
          <w:rFonts w:ascii="Times New Roman" w:hAnsi="Times New Roman"/>
          <w:color w:val="185ABD"/>
        </w:rPr>
        <w:t>3.1 Lo que el sistema ya verifica (20 reglas)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Bloque</w:t>
            </w:r>
          </w:p>
        </w:tc>
        <w:tc>
          <w:tcPr>
            <w:tcW w:type="dxa" w:w="734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Reglas actuales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Formato</w:t>
            </w:r>
          </w:p>
        </w:tc>
        <w:tc>
          <w:tcPr>
            <w:tcW w:type="dxa" w:w="734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Márgenes, tipografías, tamaños, interlineado doble, alineación, sangría, espaciado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Títulos</w:t>
            </w:r>
          </w:p>
        </w:tc>
        <w:tc>
          <w:tcPr>
            <w:tcW w:type="dxa" w:w="734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Jerarquía, formato por nivel, títulos sin estilo de Word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Citas</w:t>
            </w:r>
          </w:p>
        </w:tc>
        <w:tc>
          <w:tcPr>
            <w:tcW w:type="dxa" w:w="734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Autor y año, «&amp;» frente a «and», «et al.», página en cita textual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Referencias</w:t>
            </w:r>
          </w:p>
        </w:tc>
        <w:tc>
          <w:tcPr>
            <w:tcW w:type="dxa" w:w="734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Presencia, año, sangría francesa, orden alfabético, DOI como URL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/>
          <w:color w:val="185ABD"/>
        </w:rPr>
        <w:t>3.2 Lo que falta, por valor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Requisito del bosquejo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Por qué importa</w:t>
            </w:r>
          </w:p>
        </w:tc>
        <w:tc>
          <w:tcPr>
            <w:tcW w:type="dxa" w:w="12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Prioridad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Cruce cita ↔ referencia, en ambos sentidos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Requisito explícito: toda cita debe tener referencia y ninguna referencia debe sobrar. Hoy no se verifica ninguna de las dos direcciones.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Referencias por tipo de fuente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Cursiva en libro, tesis o informe; en artículo solo el contenedor. Hoy no se distingue el tipo.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«et al.» desde la primera mención con tres o más autores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Hoy solo se verifica el punto final, no el umbral de autores.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Cita en bloque de 40 palabras o más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Sin comillas, sin cursiva, sangría de 1.27 cm, punto antes del paréntesis. No existe la regla.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Punto final según el tipo de cita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Después del paréntesis en citas cortas; antes en cita en bloque.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Autor corporativo con sigla entre corchetes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Primera cita con nombre completo, siguientes solo con la sigla.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Hasta 20 autores y regla de más de 20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Incluye la lista invertida de nombres.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Numeración desde la portada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Página 1 en la portada y角 superior derecha en todas.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Baja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Plantilla institucional de la universidad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Es lo primero que pide el asesor y obliga a solicitar un segundo archivo al cliente.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Control de versiones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Comparar con la versión anterior para ver qué observaciones se subsanaron.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Clasificación del encargo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Universidad, programa y nivel. Hoy no existen datos del cliente.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ABD"/>
        </w:rPr>
        <w:t>4. Arquitectura propuesta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Seis capas. Las dos primeras no requieren inteligencia artificial y son las que convierten el producto de verificador de APA en sistema de asesoría.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Cliente/Encargo → Perfil de norma → Extracción → Reglas → IA acotada → Aplicación + Bitácora</w:t>
      </w:r>
    </w:p>
    <w:p>
      <w:pPr>
        <w:pStyle w:val="Heading2"/>
      </w:pPr>
      <w:r>
        <w:rPr>
          <w:rFonts w:ascii="Times New Roman" w:hAnsi="Times New Roman"/>
          <w:color w:val="185ABD"/>
        </w:rPr>
        <w:t>4.1 Capa 0 — Ficha del encargo (nueva)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Universidad, programa, nivel académico, guía institucional y versión del documento. Es el requisito del apartado 2.2 que exige al cliente su reglamento de tesis. Implica el cambio arquitectónico más relevante: el sistema actual no guarda estado.</w:t>
      </w:r>
    </w:p>
    <w:p>
      <w:pPr>
        <w:pStyle w:val="Heading2"/>
      </w:pPr>
      <w:r>
        <w:rPr>
          <w:rFonts w:ascii="Times New Roman" w:hAnsi="Times New Roman"/>
          <w:color w:val="185ABD"/>
        </w:rPr>
        <w:t>4.2 Capa 1 — Perfil de norma (nueva)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Dos perfiles: APA estricto o plantilla institucional. La guía de la universidad se sube como archivo y sus reglas se extraen al perfil (márgenes, fuentes, secciones exigidas y estructura). Es lo que hace útil el sistema para un asesor real.</w:t>
      </w:r>
    </w:p>
    <w:p>
      <w:pPr>
        <w:pStyle w:val="Heading2"/>
      </w:pPr>
      <w:r>
        <w:rPr>
          <w:rFonts w:ascii="Times New Roman" w:hAnsi="Times New Roman"/>
          <w:color w:val="185ABD"/>
        </w:rPr>
        <w:t>4.3 Capa 2 — Extracción estructurada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El parser ya lee el XML del documento, de modo que la extensión es natural: se extraen dos listas tipadas, citas y referencias, con autor, año, título, contenedor, volumen, páginas, DOI, cursivas, página estimada y párrafo. Sin esta capa las reglas nuevas no pueden funcionar.</w:t>
      </w:r>
    </w:p>
    <w:p>
      <w:pPr>
        <w:pStyle w:val="Heading2"/>
      </w:pPr>
      <w:r>
        <w:rPr>
          <w:rFonts w:ascii="Times New Roman" w:hAnsi="Times New Roman"/>
          <w:color w:val="185ABD"/>
        </w:rPr>
        <w:t>4.4 Capa 3 — Motor de reglas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Las reglas nuevas se suman a las veinte actuales sin cambiar la arquitectura: son archivos nuevos que implementan la misma interfaz de comprobación.</w:t>
      </w:r>
    </w:p>
    <w:p>
      <w:pPr>
        <w:pStyle w:val="Heading2"/>
      </w:pPr>
      <w:r>
        <w:rPr>
          <w:rFonts w:ascii="Times New Roman" w:hAnsi="Times New Roman"/>
          <w:color w:val="185ABD"/>
        </w:rPr>
        <w:t>4.5 Capa 4 — IA acotada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Tres encargos: clasificar el tipo de fuente y detectar elementos faltantes, proponer la referencia canónica cuando el patrón no se reconoce, y evaluar coherencia semántica y redacción. Toda salida lleva confianza; por debajo del umbral es sugerencia, nunca aplicación automática.</w:t>
      </w:r>
    </w:p>
    <w:p>
      <w:pPr>
        <w:pStyle w:val="Heading2"/>
      </w:pPr>
      <w:r>
        <w:rPr>
          <w:rFonts w:ascii="Times New Roman" w:hAnsi="Times New Roman"/>
          <w:color w:val="185ABD"/>
        </w:rPr>
        <w:t>4.6 Capa 5 — Aplicación y bitácora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Correcciones quirúrgicas sobre el .docx original, solo de tipo mecánico, con registro de antes y después. Ese registro es el insumo del control de versiones.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ABD"/>
        </w:rPr>
        <w:t>5. Dónde incluir la IA</w:t>
      </w:r>
    </w:p>
    <w:p>
      <w:pPr>
        <w:pStyle w:val="Heading2"/>
      </w:pPr>
      <w:r>
        <w:rPr>
          <w:rFonts w:ascii="Times New Roman" w:hAnsi="Times New Roman"/>
          <w:color w:val="185ABD"/>
        </w:rPr>
        <w:t>5.1 Principio</w:t>
      </w:r>
    </w:p>
    <w:p>
      <w:pPr>
        <w:spacing w:after="0"/>
      </w:pPr>
      <w:r>
        <w:rPr>
          <w:rFonts w:ascii="Times New Roman" w:hAnsi="Times New Roman"/>
          <w:b/>
          <w:i w:val="0"/>
          <w:sz w:val="24"/>
        </w:rPr>
        <w:t>El motor de reglas es el juez y la IA es el analista. La IA no escribe en el documento. Si la IA edita el .docx, aparecerán referencias inventadas, y eso es plagio no intencionado: el peor fallo posible en este producto.</w:t>
      </w:r>
    </w:p>
    <w:p>
      <w:pPr>
        <w:pStyle w:val="Heading2"/>
      </w:pPr>
      <w:r>
        <w:rPr>
          <w:rFonts w:ascii="Times New Roman" w:hAnsi="Times New Roman"/>
          <w:color w:val="185ABD"/>
        </w:rPr>
        <w:t>5.2 Reparto de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Tarea</w:t>
            </w:r>
          </w:p>
        </w:tc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Motor</w:t>
            </w:r>
          </w:p>
        </w:tc>
        <w:tc>
          <w:tcPr>
            <w:tcW w:type="dxa" w:w="403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Motivo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Formato, márgenes, jerarquía, sangrías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Regla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Verificable y reproducible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¿Cita tiene referencia? ¿Referencia sin citar?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IA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Exige comparar nombres con variantes: «García» y «Garcia», «et al.» frente a la lista completa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¿Qué tipo de fuente es?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IA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El patrón es ambiguo entre idiomas y convenciones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¿Cumple el formato APA de ese tipo?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Regla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Determinista una vez que el tipo está tipado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Redacción y ortotipografía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IA, sin auto Corrección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Requisito de fondo y forma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Orden, cursivas, sangría francesa, «&amp;»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Regla más aplicación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Mecánico y reversible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Inventar o completar una referencia</w:t>
            </w:r>
          </w:p>
        </w:tc>
        <w:tc>
          <w:tcPr>
            <w:tcW w:type="dxa" w:w="230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Prohibido</w:t>
            </w:r>
          </w:p>
        </w:tc>
        <w:tc>
          <w:tcPr>
            <w:tcW w:type="dxa" w:w="4032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Riesgo académico directo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/>
          <w:color w:val="185ABD"/>
        </w:rPr>
        <w:t>5.3 Restricción de contexto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La IA recibe únicamente el JSON de citas y referencias, nunca la tesis completa. Reduce coste, reduce alucinación y hace auditable cada decisión.</w:t>
      </w:r>
    </w:p>
    <w:p>
      <w:pPr>
        <w:pStyle w:val="Heading2"/>
      </w:pPr>
      <w:r>
        <w:rPr>
          <w:rFonts w:ascii="Times New Roman" w:hAnsi="Times New Roman"/>
          <w:color w:val="185ABD"/>
        </w:rPr>
        <w:t>5.4 Lo que la IA no debe hacer nunca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Escribir o reescribir contenido del documento sin confirmación humana.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Participar en el conteo de páginas ni en el formato; ahí son más fiables el navegador y la librería.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Sugerir una referencia que no exista ya en el documento.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ABD"/>
        </w:rPr>
        <w:t>6. Plan por fases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Fase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Contenido</w:t>
            </w:r>
          </w:p>
        </w:tc>
        <w:tc>
          <w:tcPr>
            <w:tcW w:type="dxa" w:w="12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Riesgo</w:t>
            </w:r>
          </w:p>
        </w:tc>
        <w:tc>
          <w:tcPr>
            <w:tcW w:type="dxa" w:w="158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Extracción estructurada y reglas de citas y referencias, incluido el cruce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Nulo</w:t>
            </w:r>
          </w:p>
        </w:tc>
        <w:tc>
          <w:tcPr>
            <w:tcW w:type="dxa" w:w="15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Alto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Ficha del encargo y perfil de plantilla institucional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Bajo</w:t>
            </w:r>
          </w:p>
        </w:tc>
        <w:tc>
          <w:tcPr>
            <w:tcW w:type="dxa" w:w="15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Alto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IA para cruce y clasificación de fuentes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Bajo</w:t>
            </w:r>
          </w:p>
        </w:tc>
        <w:tc>
          <w:tcPr>
            <w:tcW w:type="dxa" w:w="15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Medio-alto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Correcciones automáticas seguras y exportación del .docx corregido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15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Alto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Control de versiones y auditoría de observaciones del asesor</w:t>
            </w:r>
          </w:p>
        </w:tc>
        <w:tc>
          <w:tcPr>
            <w:tcW w:type="dxa" w:w="1296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Bajo</w:t>
            </w:r>
          </w:p>
        </w:tc>
        <w:tc>
          <w:tcPr>
            <w:tcW w:type="dxa" w:w="158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0"/>
              </w:rPr>
              <w:t>Medio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Times New Roman" w:hAnsi="Times New Roman"/>
          <w:b/>
          <w:i w:val="0"/>
          <w:sz w:val="24"/>
        </w:rPr>
        <w:t>Las fases 1 y 2 no requieren IA ni clave de API. Son la base sobre la cual la IA deja de inventar.</w:t>
      </w:r>
    </w:p>
    <w:p>
      <w:pPr>
        <w:pStyle w:val="Heading1"/>
      </w:pPr>
      <w:r>
        <w:rPr>
          <w:rFonts w:ascii="Times New Roman" w:hAnsi="Times New Roman"/>
          <w:color w:val="185ABD"/>
        </w:rPr>
        <w:t>7. Puntos donde el código actual facilita el trabajo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b/>
          <w:sz w:val="24"/>
        </w:rPr>
        <w:t xml:space="preserve">Motor de reglas. </w:t>
      </w:r>
      <w:r>
        <w:rPr>
          <w:rFonts w:ascii="Times New Roman" w:hAnsi="Times New Roman"/>
          <w:sz w:val="24"/>
        </w:rPr>
        <w:t>La interfaz de reglas ya está definida; las nuevas son archivos nuevos, no un rediseño.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b/>
          <w:sz w:val="24"/>
        </w:rPr>
        <w:t xml:space="preserve">Datos estructurados. </w:t>
      </w:r>
      <w:r>
        <w:rPr>
          <w:rFonts w:ascii="Times New Roman" w:hAnsi="Times New Roman"/>
          <w:sz w:val="24"/>
        </w:rPr>
        <w:t>Los hallazgos ya transportan datos estructurados y el modal de títulos sin estilo demuestra cómo agruparlos.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b/>
          <w:sz w:val="24"/>
        </w:rPr>
        <w:t xml:space="preserve">Lectura directa del XML. </w:t>
      </w:r>
      <w:r>
        <w:rPr>
          <w:rFonts w:ascii="Times New Roman" w:hAnsi="Times New Roman"/>
          <w:sz w:val="24"/>
        </w:rPr>
        <w:t>El backend ya lee el XML del documento, con el mismo criterio se extraen las reglas del reglamento institucional.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b/>
          <w:sz w:val="24"/>
        </w:rPr>
        <w:t xml:space="preserve">Informe. </w:t>
      </w:r>
      <w:r>
        <w:rPr>
          <w:rFonts w:ascii="Times New Roman" w:hAnsi="Times New Roman"/>
          <w:sz w:val="24"/>
        </w:rPr>
        <w:t>El generador de informe es el lugar natural para la bitácora de correcciones.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b/>
          <w:sz w:val="24"/>
        </w:rPr>
        <w:t xml:space="preserve">Visualización. </w:t>
      </w:r>
      <w:r>
        <w:rPr>
          <w:rFonts w:ascii="Times New Roman" w:hAnsi="Times New Roman"/>
          <w:sz w:val="24"/>
        </w:rPr>
        <w:t>La vista web ya muestra páginas con la geometría real de cada sección del documento.</w:t>
      </w:r>
    </w:p>
    <w:p>
      <w:pPr>
        <w:pStyle w:val="Heading1"/>
      </w:pPr>
      <w:r>
        <w:rPr>
          <w:rFonts w:ascii="Times New Roman" w:hAnsi="Times New Roman"/>
          <w:color w:val="185ABD"/>
        </w:rPr>
        <w:t>8. Recomendación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Empezar por la fase 1. Es la que cierra el requisito que el propio documento de asesoría marca como obligatorio: que toda cita tenga su referencia y que ninguna referencia quede sin citar. No necesita IA, no tiene riesgo y es la que más valor aporta por unidad de esfuerzo.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4"/>
        </w:rPr>
        <w:t>La segunda decisión es de producto, no técnica: si conviene atacar primero la fase 1 (más valor técnico inmediato) o la fase 2 (más cambio en el producto, porque el asesor necesita validar contra la norma de su universidad, no solo contra APA).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