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its effect on the Criminal Justice System</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Isabella Stefano</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109: Enter the World of Artificial Intelligence: Computing Principles, Ethics, and Impact</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30 2026</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480" w:lineRule="auto"/>
        <w:ind w:firstLine="720"/>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The creation of AI will impact everything and everyone in some shape or form, the good, better, and the bad. “AI-Enabled Future Crime,” by authors Caldwell, Andrews, Tanay, and Griffin, is a review of LLMs and their use in law, as well as a study of AI- and cybercrimes committed by perpetrators. Additionally, the “Possibility of Using Publicly Available Neural Networks in Criminal Proceedings” by Spirdinov argues more negatively on AI and its failure to comprehend human motives and emotions, and the skyrocketing rates of many different types of cyber crimes. </w:t>
      </w:r>
      <w:r w:rsidDel="00000000" w:rsidR="00000000" w:rsidRPr="00000000">
        <w:rPr>
          <w:rFonts w:ascii="Times" w:cs="Times" w:eastAsia="Times" w:hAnsi="Times"/>
          <w:sz w:val="24"/>
          <w:szCs w:val="24"/>
          <w:rtl w:val="0"/>
        </w:rPr>
        <w:t xml:space="preserve">The introduction of AI into the Criminology and Forensic Science profession will enhance analytical capabilities. However, it will remain crucial to retain human judgment in matters of interpretation and legality.</w:t>
      </w:r>
    </w:p>
    <w:p w:rsidR="00000000" w:rsidDel="00000000" w:rsidP="00000000" w:rsidRDefault="00000000" w:rsidRPr="00000000" w14:paraId="00000017">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Initially, AI can help enhance data analysis and structure. In this section of the study, the authors go over LLM, AI, and its impact on human communication and work. The Authors note, </w:t>
      </w:r>
      <w:r w:rsidDel="00000000" w:rsidR="00000000" w:rsidRPr="00000000">
        <w:rPr>
          <w:rFonts w:ascii="Times New Roman" w:cs="Times New Roman" w:eastAsia="Times New Roman" w:hAnsi="Times New Roman"/>
          <w:sz w:val="24"/>
          <w:szCs w:val="24"/>
          <w:rtl w:val="0"/>
        </w:rPr>
        <w:t xml:space="preserve">“Most AI endeavours are discrete and solve specific, well-defined tasks. The term "artificial general intelligence" is used for the idea of a single integrated system capable of tackling many different kinds of tasks at once, even those it has never encountered before.” (Caldwell, Andrews, Tanay, Griffin, 2020) AI allows Criminologists and other teams, like social workers and Forensic Scientists, to multitask case loads to other team members. This effective communication allowed the legal system to process cases a lot more efficiently. AI can also help find patterns in data, which is crucial for case studies and finding criminals. As mentioned previously, AI can help efficiency for cases to progress, but AI can not be relied on. In this specific study by Spirdinov, he supports the idea that AI can help find neural networks and patterns in an appropriate use. He states, “The results can be used in law enforcement and education: to determine the acceptable limits of using publicly available neural networks in criminal proceedings; to develop methodological recommendations.” (</w:t>
      </w:r>
      <w:hyperlink r:id="rId6">
        <w:r w:rsidDel="00000000" w:rsidR="00000000" w:rsidRPr="00000000">
          <w:rPr>
            <w:rFonts w:ascii="Times New Roman" w:cs="Times New Roman" w:eastAsia="Times New Roman" w:hAnsi="Times New Roman"/>
            <w:sz w:val="24"/>
            <w:szCs w:val="24"/>
            <w:rtl w:val="0"/>
          </w:rPr>
          <w:t xml:space="preserve">Spiridonov</w:t>
        </w:r>
      </w:hyperlink>
      <w:r w:rsidDel="00000000" w:rsidR="00000000" w:rsidRPr="00000000">
        <w:rPr>
          <w:rFonts w:ascii="Times New Roman" w:cs="Times New Roman" w:eastAsia="Times New Roman" w:hAnsi="Times New Roman"/>
          <w:sz w:val="24"/>
          <w:szCs w:val="24"/>
          <w:rtl w:val="0"/>
        </w:rPr>
        <w:t xml:space="preserve">, 2026) AI in law is only allowed when it is for rules or helping you format a proper thesis in forensic science, or even guiding you through certain steps of the court system. Although these are great uses, the federal government has placed restrictions on using AI to do actual studies or data due to bias issues. </w:t>
      </w:r>
      <w:r w:rsidDel="00000000" w:rsidR="00000000" w:rsidRPr="00000000">
        <w:rPr>
          <w:rFonts w:ascii="Times" w:cs="Times" w:eastAsia="Times" w:hAnsi="Times"/>
          <w:sz w:val="24"/>
          <w:szCs w:val="24"/>
          <w:rtl w:val="0"/>
        </w:rPr>
        <w:t xml:space="preserve">AI will help revolutionize the slow legal process of the court system, but will not take over jobs due to its restrictions. </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Despite the enhancements, AI can also increase cyber crimes and make detrimental mistakes in human comprehension. </w:t>
      </w:r>
      <w:r w:rsidDel="00000000" w:rsidR="00000000" w:rsidRPr="00000000">
        <w:rPr>
          <w:rFonts w:ascii="Times New Roman" w:cs="Times New Roman" w:eastAsia="Times New Roman" w:hAnsi="Times New Roman"/>
          <w:sz w:val="24"/>
          <w:szCs w:val="24"/>
          <w:rtl w:val="0"/>
        </w:rPr>
        <w:t xml:space="preserve">While Spirdinov previously supported the usage of AI to help find a neuro-networking team, he also notes that AI struggles to comprehend human emotion, motives, and empathy. He advises the following, “In the absence of direct reference to the relevant legal sources, the models systematically made mistakes when determining the term of conviction expungement, applying the rules for sentencing, and determining the type of recidivism of crimes.” (</w:t>
      </w:r>
      <w:hyperlink r:id="rId7">
        <w:r w:rsidDel="00000000" w:rsidR="00000000" w:rsidRPr="00000000">
          <w:rPr>
            <w:rFonts w:ascii="Times New Roman" w:cs="Times New Roman" w:eastAsia="Times New Roman" w:hAnsi="Times New Roman"/>
            <w:sz w:val="24"/>
            <w:szCs w:val="24"/>
            <w:rtl w:val="0"/>
          </w:rPr>
          <w:t xml:space="preserve">Spiridonov</w:t>
        </w:r>
      </w:hyperlink>
      <w:r w:rsidDel="00000000" w:rsidR="00000000" w:rsidRPr="00000000">
        <w:rPr>
          <w:rFonts w:ascii="Times New Roman" w:cs="Times New Roman" w:eastAsia="Times New Roman" w:hAnsi="Times New Roman"/>
          <w:sz w:val="24"/>
          <w:szCs w:val="24"/>
          <w:rtl w:val="0"/>
        </w:rPr>
        <w:t xml:space="preserve">, 2026) LLM models have a challenging time figuring out motives and human comprehension because they only know robotic comprehension. Furthermore, these models can only apply legal methods such as steps rather than telling people who’s wrong and who's right. Not only does AI struggle with human nature and emotions, but there have also been high rates of new types of cybersecurity crimes at an alarming rate. Authors Caldwell, Andrews, Tanay, and Griffin heavily criticize and warn about the dangers of high rates of cybersecurity in AI crimes, usage in child exploitation. They warn that, “Most obviously, AI could be employed as a </w:t>
      </w:r>
      <w:r w:rsidDel="00000000" w:rsidR="00000000" w:rsidRPr="00000000">
        <w:rPr>
          <w:rFonts w:ascii="Times New Roman" w:cs="Times New Roman" w:eastAsia="Times New Roman" w:hAnsi="Times New Roman"/>
          <w:i w:val="1"/>
          <w:iCs w:val="1"/>
          <w:sz w:val="24"/>
          <w:szCs w:val="24"/>
          <w:rtl w:val="0"/>
        </w:rPr>
        <w:t xml:space="preserve">tool</w:t>
      </w:r>
      <w:r w:rsidDel="00000000" w:rsidR="00000000" w:rsidRPr="00000000">
        <w:rPr>
          <w:rFonts w:ascii="Times New Roman" w:cs="Times New Roman" w:eastAsia="Times New Roman" w:hAnsi="Times New Roman"/>
          <w:sz w:val="24"/>
          <w:szCs w:val="24"/>
          <w:rtl w:val="0"/>
        </w:rPr>
        <w:t xml:space="preserve"> for crime, making use of its capabilities to facilitate actions against real world targets: predicting the behaviour of people or institutions in order to discover and exploit vulnerabilities; generating fake content for use in blackmail or to sully reputations; performing feats that human perpetrators are unable or unwilling to do themselves, for reasons of danger, physical size, speed of reaction and so on.” (Caldwell, Andrews, Tanay, Griffin, 2020) Criminals have found dark ways to interact with AI because any LLM is free and will also prompt what you want to be prompted for example, cyber crimes such as explicit materials involving minors have become more common in recent years, and as a result, the federal government cracked down on AI generating illegal sexual content. As AI becomes more advance law officials fear that humans will not be able to differentiate between humans and computers themselves, this growing tension fear feed criminals mind into harming others. </w:t>
      </w:r>
    </w:p>
    <w:p w:rsidR="00000000" w:rsidDel="00000000" w:rsidP="00000000" w:rsidRDefault="00000000" w:rsidRPr="00000000" w14:paraId="00000019">
      <w:pPr>
        <w:spacing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Ultimately, </w:t>
      </w:r>
      <w:r w:rsidDel="00000000" w:rsidR="00000000" w:rsidRPr="00000000">
        <w:rPr>
          <w:rFonts w:ascii="Times" w:cs="Times" w:eastAsia="Times" w:hAnsi="Times"/>
          <w:sz w:val="24"/>
          <w:szCs w:val="24"/>
          <w:rtl w:val="0"/>
        </w:rPr>
        <w:t xml:space="preserve">AI can help the Criminology and Forensic Science professions with analytical capabilities. However, the federal government advises against using it for human judgment or interpretation of legality. AI will change the court system to a fast pace enviorment, but the federal government will ensure it does not take jobs. While this is a good invention, AI can also be used to harm others by cybersecurity attacks, which can lead to very serious felonies. </w:t>
      </w:r>
      <w:r w:rsidDel="00000000" w:rsidR="00000000" w:rsidRPr="00000000">
        <w:rPr>
          <w:rFonts w:ascii="Times New Roman" w:cs="Times New Roman" w:eastAsia="Times New Roman" w:hAnsi="Times New Roman"/>
          <w:color w:val="333333"/>
          <w:sz w:val="24"/>
          <w:szCs w:val="24"/>
          <w:rtl w:val="0"/>
        </w:rPr>
        <w:t xml:space="preserve">There is no right answers wether AI is good or bad. AI is bad when there is intent and a terrible motive to induce harm, but when it is used for the good, it can revolutionize systems that are frustrating and guide generations. </w:t>
      </w:r>
    </w:p>
    <w:p w:rsidR="00000000" w:rsidDel="00000000" w:rsidP="00000000" w:rsidRDefault="00000000" w:rsidRPr="00000000" w14:paraId="0000001A">
      <w:pPr>
        <w:spacing w:line="480" w:lineRule="auto"/>
        <w:ind w:firstLine="720"/>
        <w:rPr>
          <w:rFonts w:ascii="Times New Roman" w:cs="Times New Roman" w:eastAsia="Times New Roman" w:hAnsi="Times New Roman"/>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480" w:lineRule="auto"/>
        <w:ind w:firstLine="72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Bibliography</w:t>
      </w:r>
    </w:p>
    <w:p w:rsidR="00000000" w:rsidDel="00000000" w:rsidP="00000000" w:rsidRDefault="00000000" w:rsidRPr="00000000" w14:paraId="0000001C">
      <w:pPr>
        <w:shd w:fill="ffffff" w:val="clear"/>
        <w:spacing w:after="300" w:line="360" w:lineRule="auto"/>
        <w:ind w:left="420"/>
        <w:rPr>
          <w:color w:val="333333"/>
          <w:sz w:val="21"/>
          <w:szCs w:val="21"/>
        </w:rPr>
      </w:pPr>
      <w:r w:rsidDel="00000000" w:rsidR="00000000" w:rsidRPr="00000000">
        <w:rPr>
          <w:color w:val="333333"/>
          <w:sz w:val="21"/>
          <w:szCs w:val="21"/>
          <w:rtl w:val="0"/>
        </w:rPr>
        <w:t xml:space="preserve">Caldwell, M., J. T. A. Andrews, T. Tanay, and L. D. Griffin. "AI-enabled future crime." </w:t>
      </w:r>
      <w:r w:rsidDel="00000000" w:rsidR="00000000" w:rsidRPr="00000000">
        <w:rPr>
          <w:i w:val="1"/>
          <w:iCs w:val="1"/>
          <w:color w:val="333333"/>
          <w:sz w:val="21"/>
          <w:szCs w:val="21"/>
          <w:rtl w:val="0"/>
        </w:rPr>
        <w:t xml:space="preserve">Crime Science</w:t>
      </w:r>
      <w:r w:rsidDel="00000000" w:rsidR="00000000" w:rsidRPr="00000000">
        <w:rPr>
          <w:color w:val="333333"/>
          <w:sz w:val="21"/>
          <w:szCs w:val="21"/>
          <w:rtl w:val="0"/>
        </w:rPr>
        <w:t xml:space="preserve"> 9, no. 1 (2020). </w:t>
      </w:r>
      <w:r w:rsidDel="00000000" w:rsidR="00000000" w:rsidRPr="00000000">
        <w:rPr>
          <w:i w:val="1"/>
          <w:iCs w:val="1"/>
          <w:color w:val="333333"/>
          <w:sz w:val="21"/>
          <w:szCs w:val="21"/>
          <w:rtl w:val="0"/>
        </w:rPr>
        <w:t xml:space="preserve">Gale Academic OneFile</w:t>
      </w:r>
      <w:r w:rsidDel="00000000" w:rsidR="00000000" w:rsidRPr="00000000">
        <w:rPr>
          <w:color w:val="333333"/>
          <w:sz w:val="21"/>
          <w:szCs w:val="21"/>
          <w:rtl w:val="0"/>
        </w:rPr>
        <w:t xml:space="preserve"> (accessed April 30, 2026). </w:t>
      </w:r>
      <w:hyperlink r:id="rId8">
        <w:r w:rsidDel="00000000" w:rsidR="00000000" w:rsidRPr="00000000">
          <w:rPr>
            <w:color w:val="1155cc"/>
            <w:sz w:val="21"/>
            <w:szCs w:val="21"/>
            <w:u w:val="single"/>
            <w:rtl w:val="0"/>
          </w:rPr>
          <w:t xml:space="preserve">http://dx.doi.org/10.1186/s40163-020-00123-8</w:t>
        </w:r>
      </w:hyperlink>
      <w:r w:rsidDel="00000000" w:rsidR="00000000" w:rsidRPr="00000000">
        <w:rPr>
          <w:color w:val="333333"/>
          <w:sz w:val="21"/>
          <w:szCs w:val="21"/>
          <w:rtl w:val="0"/>
        </w:rPr>
        <w:t xml:space="preserve">.</w:t>
      </w:r>
    </w:p>
    <w:p w:rsidR="00000000" w:rsidDel="00000000" w:rsidP="00000000" w:rsidRDefault="00000000" w:rsidRPr="00000000" w14:paraId="0000001D">
      <w:pPr>
        <w:shd w:fill="ffffff" w:val="clear"/>
        <w:spacing w:after="300" w:line="360" w:lineRule="auto"/>
        <w:ind w:left="42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Spiridonov, Mikhail S.</w:t>
      </w:r>
      <w:r w:rsidDel="00000000" w:rsidR="00000000" w:rsidRPr="00000000">
        <w:rPr>
          <w:rFonts w:ascii="Roboto" w:cs="Roboto" w:eastAsia="Roboto" w:hAnsi="Roboto"/>
          <w:i w:val="1"/>
          <w:iCs w:val="1"/>
          <w:sz w:val="21"/>
          <w:szCs w:val="21"/>
          <w:highlight w:val="white"/>
          <w:rtl w:val="0"/>
        </w:rPr>
        <w:t xml:space="preserve"> Possibility of using Publicly Available Neural Networks in Criminal Proceedings</w:t>
      </w:r>
      <w:r w:rsidDel="00000000" w:rsidR="00000000" w:rsidRPr="00000000">
        <w:rPr>
          <w:rFonts w:ascii="Roboto" w:cs="Roboto" w:eastAsia="Roboto" w:hAnsi="Roboto"/>
          <w:sz w:val="21"/>
          <w:szCs w:val="21"/>
          <w:highlight w:val="white"/>
          <w:rtl w:val="0"/>
        </w:rPr>
        <w:t xml:space="preserve">. Vol. 4 Kazan Innovative University named after V. G. Timiryasov, 2026. doi:10.21202/jdtl.2026.2 </w:t>
      </w:r>
      <w:hyperlink r:id="rId9">
        <w:r w:rsidDel="00000000" w:rsidR="00000000" w:rsidRPr="00000000">
          <w:rPr>
            <w:rFonts w:ascii="Roboto" w:cs="Roboto" w:eastAsia="Roboto" w:hAnsi="Roboto"/>
            <w:color w:val="1155cc"/>
            <w:sz w:val="21"/>
            <w:szCs w:val="21"/>
            <w:highlight w:val="white"/>
            <w:u w:val="single"/>
            <w:rtl w:val="0"/>
          </w:rPr>
          <w:t xml:space="preserve">https://www.lawjournal.digital/jour/article/view/624/pdf_91</w:t>
        </w:r>
      </w:hyperlink>
      <w:r w:rsidDel="00000000" w:rsidR="00000000" w:rsidRPr="00000000">
        <w:rPr>
          <w:rtl w:val="0"/>
        </w:rPr>
      </w:r>
    </w:p>
    <w:p w:rsidR="00000000" w:rsidDel="00000000" w:rsidP="00000000" w:rsidRDefault="00000000" w:rsidRPr="00000000" w14:paraId="0000001E">
      <w:pPr>
        <w:shd w:fill="ffffff" w:val="clear"/>
        <w:spacing w:after="300" w:line="360" w:lineRule="auto"/>
        <w:ind w:left="420"/>
        <w:rPr>
          <w:color w:val="333333"/>
          <w:sz w:val="21"/>
          <w:szCs w:val="21"/>
        </w:rPr>
      </w:pPr>
      <w:r w:rsidDel="00000000" w:rsidR="00000000" w:rsidRPr="00000000">
        <w:rPr>
          <w:rtl w:val="0"/>
        </w:rPr>
      </w:r>
    </w:p>
    <w:sectPr>
      <w:headerReference r:id="rId10" w:type="default"/>
      <w:head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ind w:left="79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Stefano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yperlink" Target="https://www.lawjournal.digital/jour/article/view/624/pdf_91" TargetMode="External"/><Relationship Id="rId5" Type="http://schemas.openxmlformats.org/officeDocument/2006/relationships/styles" Target="styles.xml"/><Relationship Id="rId6" Type="http://schemas.openxmlformats.org/officeDocument/2006/relationships/hyperlink" Target="https://www.lawjournal.digital/index.php/jour/search?authors=M.%20AND%20S.%20AND%20Spiridonov" TargetMode="External"/><Relationship Id="rId7" Type="http://schemas.openxmlformats.org/officeDocument/2006/relationships/hyperlink" Target="https://www.lawjournal.digital/index.php/jour/search?authors=M.%20AND%20S.%20AND%20Spiridonov" TargetMode="External"/><Relationship Id="rId8" Type="http://schemas.openxmlformats.org/officeDocument/2006/relationships/hyperlink" Target="http://dx.doi.org/10.1186/s40163-020-0012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