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435C" w14:textId="77777777" w:rsidR="00405468" w:rsidRDefault="00405468">
      <w:pPr>
        <w:rPr>
          <w:rFonts w:ascii="Times New Roman" w:hAnsi="Times New Roman" w:cs="Times New Roman"/>
        </w:rPr>
      </w:pPr>
    </w:p>
    <w:p w14:paraId="324A4316" w14:textId="77777777" w:rsidR="00C1098C" w:rsidRDefault="00C1098C">
      <w:pPr>
        <w:rPr>
          <w:rFonts w:ascii="Times New Roman" w:hAnsi="Times New Roman" w:cs="Times New Roman"/>
        </w:rPr>
      </w:pPr>
    </w:p>
    <w:p w14:paraId="795FE17D" w14:textId="77777777" w:rsidR="00C1098C" w:rsidRDefault="00C1098C" w:rsidP="00C1098C">
      <w:pPr>
        <w:spacing w:line="276" w:lineRule="auto"/>
        <w:jc w:val="both"/>
        <w:rPr>
          <w:rFonts w:ascii="Times New Roman" w:hAnsi="Times New Roman" w:cs="Times New Roman"/>
        </w:rPr>
      </w:pPr>
    </w:p>
    <w:p w14:paraId="7FF1306C" w14:textId="7F3C6B4D" w:rsidR="00C1098C" w:rsidRDefault="00C1098C" w:rsidP="00C1098C">
      <w:pPr>
        <w:spacing w:line="276" w:lineRule="auto"/>
        <w:jc w:val="both"/>
        <w:rPr>
          <w:rFonts w:ascii="Times New Roman" w:hAnsi="Times New Roman" w:cs="Times New Roman"/>
        </w:rPr>
      </w:pPr>
      <w:r>
        <w:rPr>
          <w:rFonts w:ascii="Times New Roman" w:hAnsi="Times New Roman" w:cs="Times New Roman"/>
        </w:rPr>
        <w:t>Atrio Cerámica en esencia representa una apuesta por un pensamiento escultórico, difuminando de este modo la frontera entre la utilidad y la obra de arte misma, haciendo del oficio, en este caso, el propio del alfarero y ceramista, un ejercicio estético, crítico, y en últimas, vital. Como su propio nombre lo indica, la propuesta del taller es, en primera instancia, de carácter esp</w:t>
      </w:r>
      <w:r w:rsidR="008E4933">
        <w:rPr>
          <w:rFonts w:ascii="Times New Roman" w:hAnsi="Times New Roman" w:cs="Times New Roman"/>
        </w:rPr>
        <w:t>a</w:t>
      </w:r>
      <w:r>
        <w:rPr>
          <w:rFonts w:ascii="Times New Roman" w:hAnsi="Times New Roman" w:cs="Times New Roman"/>
        </w:rPr>
        <w:t xml:space="preserve">cial, procurando un lugar donde se logre expresar lo interno del pensar, yendo incluso más allá de las intenciones del artesano-artista, dándole un lugar prioritario a la expresión de la materia misma, a saber, de la arcilla como materia creadora y creante. </w:t>
      </w:r>
    </w:p>
    <w:p w14:paraId="7CAC9D17" w14:textId="77777777" w:rsidR="00C1098C" w:rsidRDefault="00C1098C" w:rsidP="00C1098C">
      <w:pPr>
        <w:spacing w:line="276" w:lineRule="auto"/>
        <w:jc w:val="both"/>
        <w:rPr>
          <w:rFonts w:ascii="Times New Roman" w:hAnsi="Times New Roman" w:cs="Times New Roman"/>
        </w:rPr>
      </w:pPr>
    </w:p>
    <w:p w14:paraId="0B4987B2" w14:textId="1E686B19" w:rsidR="00C36059" w:rsidRDefault="00C1098C" w:rsidP="00C1098C">
      <w:pPr>
        <w:spacing w:line="276" w:lineRule="auto"/>
        <w:jc w:val="both"/>
        <w:rPr>
          <w:rFonts w:ascii="Times New Roman" w:hAnsi="Times New Roman" w:cs="Times New Roman"/>
        </w:rPr>
      </w:pPr>
      <w:r>
        <w:rPr>
          <w:rFonts w:ascii="Times New Roman" w:hAnsi="Times New Roman" w:cs="Times New Roman"/>
        </w:rPr>
        <w:t xml:space="preserve">En este sentido, </w:t>
      </w:r>
      <w:r w:rsidR="00C36059">
        <w:rPr>
          <w:rFonts w:ascii="Times New Roman" w:hAnsi="Times New Roman" w:cs="Times New Roman"/>
        </w:rPr>
        <w:t xml:space="preserve">Atrio parte desde un anacronismo, donde cada una de las piezas allí creadas pretenden evocar una noción particular de </w:t>
      </w:r>
      <w:r w:rsidR="00C36059">
        <w:rPr>
          <w:rFonts w:ascii="Times New Roman" w:hAnsi="Times New Roman" w:cs="Times New Roman"/>
          <w:i/>
          <w:iCs/>
        </w:rPr>
        <w:t xml:space="preserve">lugar </w:t>
      </w:r>
      <w:r w:rsidR="00C36059">
        <w:rPr>
          <w:rFonts w:ascii="Times New Roman" w:hAnsi="Times New Roman" w:cs="Times New Roman"/>
        </w:rPr>
        <w:t xml:space="preserve">donde está en juego el </w:t>
      </w:r>
      <w:r w:rsidR="00C36059">
        <w:rPr>
          <w:rFonts w:ascii="Times New Roman" w:hAnsi="Times New Roman" w:cs="Times New Roman"/>
          <w:i/>
          <w:iCs/>
        </w:rPr>
        <w:t xml:space="preserve">ser, </w:t>
      </w:r>
      <w:r w:rsidR="00C36059">
        <w:rPr>
          <w:rFonts w:ascii="Times New Roman" w:hAnsi="Times New Roman" w:cs="Times New Roman"/>
        </w:rPr>
        <w:t xml:space="preserve">tanto del artista, del objeto, y en últimas, del material. Dicho de otro modo, existe una narrativa artística bajo la cual se enmarca de una manera particular el ejercicio de la cerámica, pretendiendo expresar en sus objetos, por un lado, un </w:t>
      </w:r>
      <w:r w:rsidR="00C36059" w:rsidRPr="00C36059">
        <w:rPr>
          <w:rFonts w:ascii="Times New Roman" w:hAnsi="Times New Roman" w:cs="Times New Roman"/>
          <w:i/>
          <w:iCs/>
        </w:rPr>
        <w:t>lugar de apertura</w:t>
      </w:r>
      <w:r w:rsidR="00C36059">
        <w:rPr>
          <w:rFonts w:ascii="Times New Roman" w:hAnsi="Times New Roman" w:cs="Times New Roman"/>
        </w:rPr>
        <w:t>, un terreno libre propio de la expresión de las fuerzas</w:t>
      </w:r>
      <w:r w:rsidR="001D4EE9">
        <w:rPr>
          <w:rFonts w:ascii="Times New Roman" w:hAnsi="Times New Roman" w:cs="Times New Roman"/>
        </w:rPr>
        <w:t xml:space="preserve"> externas</w:t>
      </w:r>
      <w:r w:rsidR="00C36059">
        <w:rPr>
          <w:rFonts w:ascii="Times New Roman" w:hAnsi="Times New Roman" w:cs="Times New Roman"/>
        </w:rPr>
        <w:t xml:space="preserve">, y por otro lado, un </w:t>
      </w:r>
      <w:r w:rsidR="00C36059">
        <w:rPr>
          <w:rFonts w:ascii="Times New Roman" w:hAnsi="Times New Roman" w:cs="Times New Roman"/>
          <w:i/>
          <w:iCs/>
        </w:rPr>
        <w:t xml:space="preserve">lugar de fuero interno, </w:t>
      </w:r>
      <w:r w:rsidR="00C36059">
        <w:rPr>
          <w:rFonts w:ascii="Times New Roman" w:hAnsi="Times New Roman" w:cs="Times New Roman"/>
        </w:rPr>
        <w:t xml:space="preserve">el territorio propio de la intimidad del ser del material </w:t>
      </w:r>
      <w:r w:rsidR="00C36059">
        <w:rPr>
          <w:rFonts w:ascii="Times New Roman" w:hAnsi="Times New Roman" w:cs="Times New Roman"/>
          <w:i/>
          <w:iCs/>
        </w:rPr>
        <w:t xml:space="preserve">frente a sí mismo, </w:t>
      </w:r>
      <w:r w:rsidR="001D4EE9">
        <w:rPr>
          <w:rFonts w:ascii="Times New Roman" w:hAnsi="Times New Roman" w:cs="Times New Roman"/>
        </w:rPr>
        <w:t xml:space="preserve">de las fuerzas internas que chocan entre sí, </w:t>
      </w:r>
      <w:r w:rsidR="00C36059">
        <w:rPr>
          <w:rFonts w:ascii="Times New Roman" w:hAnsi="Times New Roman" w:cs="Times New Roman"/>
        </w:rPr>
        <w:t xml:space="preserve">siendo el producto tanto su adentro como su afuera; el abismo mismo de su pensar escultórico. En últimas, Atrio, entendido a modo de umbral, expresa </w:t>
      </w:r>
      <w:r w:rsidR="008E0955">
        <w:rPr>
          <w:rFonts w:ascii="Times New Roman" w:hAnsi="Times New Roman" w:cs="Times New Roman"/>
        </w:rPr>
        <w:t>la cerámica</w:t>
      </w:r>
      <w:r w:rsidR="008F056C">
        <w:rPr>
          <w:rFonts w:ascii="Times New Roman" w:hAnsi="Times New Roman" w:cs="Times New Roman"/>
        </w:rPr>
        <w:t xml:space="preserve"> en</w:t>
      </w:r>
      <w:r w:rsidR="00C36059">
        <w:rPr>
          <w:rFonts w:ascii="Times New Roman" w:hAnsi="Times New Roman" w:cs="Times New Roman"/>
        </w:rPr>
        <w:t xml:space="preserve"> una primera instancia en la que el objeto, entendido en cuanto lugar y fuerza, representa la singularidad de un </w:t>
      </w:r>
      <w:r w:rsidR="00C36059">
        <w:rPr>
          <w:rFonts w:ascii="Times New Roman" w:hAnsi="Times New Roman" w:cs="Times New Roman"/>
          <w:i/>
          <w:iCs/>
        </w:rPr>
        <w:t xml:space="preserve">estado naciente </w:t>
      </w:r>
      <w:r w:rsidR="00C36059">
        <w:rPr>
          <w:rFonts w:ascii="Times New Roman" w:hAnsi="Times New Roman" w:cs="Times New Roman"/>
        </w:rPr>
        <w:t xml:space="preserve">de pensamiento. </w:t>
      </w:r>
    </w:p>
    <w:p w14:paraId="2CDE2E95" w14:textId="77777777" w:rsidR="00C36059" w:rsidRDefault="00C36059" w:rsidP="00C1098C">
      <w:pPr>
        <w:spacing w:line="276" w:lineRule="auto"/>
        <w:jc w:val="both"/>
        <w:rPr>
          <w:rFonts w:ascii="Times New Roman" w:hAnsi="Times New Roman" w:cs="Times New Roman"/>
        </w:rPr>
      </w:pPr>
    </w:p>
    <w:p w14:paraId="6553BF4F" w14:textId="04E2D938" w:rsidR="00C36059" w:rsidRPr="001D4EE9" w:rsidRDefault="00C36059" w:rsidP="00C1098C">
      <w:pPr>
        <w:spacing w:line="276" w:lineRule="auto"/>
        <w:jc w:val="both"/>
        <w:rPr>
          <w:rFonts w:ascii="Times New Roman" w:hAnsi="Times New Roman" w:cs="Times New Roman"/>
        </w:rPr>
      </w:pPr>
      <w:r>
        <w:rPr>
          <w:rFonts w:ascii="Times New Roman" w:hAnsi="Times New Roman" w:cs="Times New Roman"/>
        </w:rPr>
        <w:t xml:space="preserve">De este modo, teniendo las reflexiones del filósofo Didi-Huberman y el escultor Giuseppe Penone como punto de partida de la apuesta artística aquí desplegada, es posible concluir que Atrio Cerámica </w:t>
      </w:r>
      <w:r w:rsidR="001D4EE9">
        <w:rPr>
          <w:rFonts w:ascii="Times New Roman" w:hAnsi="Times New Roman" w:cs="Times New Roman"/>
        </w:rPr>
        <w:t xml:space="preserve">corresponde al reto de pensar </w:t>
      </w:r>
      <w:r w:rsidR="001D4EE9" w:rsidRPr="001D4EE9">
        <w:rPr>
          <w:rFonts w:ascii="Times New Roman" w:hAnsi="Times New Roman" w:cs="Times New Roman"/>
          <w:i/>
          <w:iCs/>
        </w:rPr>
        <w:t>a través</w:t>
      </w:r>
      <w:r w:rsidR="001D4EE9">
        <w:rPr>
          <w:rFonts w:ascii="Times New Roman" w:hAnsi="Times New Roman" w:cs="Times New Roman"/>
        </w:rPr>
        <w:t xml:space="preserve"> y </w:t>
      </w:r>
      <w:r w:rsidR="001D4EE9" w:rsidRPr="001D4EE9">
        <w:rPr>
          <w:rFonts w:ascii="Times New Roman" w:hAnsi="Times New Roman" w:cs="Times New Roman"/>
          <w:i/>
          <w:iCs/>
        </w:rPr>
        <w:t xml:space="preserve">con </w:t>
      </w:r>
      <w:r w:rsidR="001D4EE9">
        <w:rPr>
          <w:rFonts w:ascii="Times New Roman" w:hAnsi="Times New Roman" w:cs="Times New Roman"/>
        </w:rPr>
        <w:t>la arcilla. En últimas, lo que está en juego son</w:t>
      </w:r>
      <w:r>
        <w:rPr>
          <w:rFonts w:ascii="Times New Roman" w:hAnsi="Times New Roman" w:cs="Times New Roman"/>
        </w:rPr>
        <w:t xml:space="preserve"> “c</w:t>
      </w:r>
      <w:r w:rsidRPr="00C36059">
        <w:rPr>
          <w:rFonts w:ascii="Times New Roman" w:hAnsi="Times New Roman" w:cs="Times New Roman"/>
        </w:rPr>
        <w:t>uestiones de lugar y cuestiones de ser planteadas y esculpidas simultáneamente, al mismo tiempo. Es decir que</w:t>
      </w:r>
      <w:r w:rsidR="001D4EE9">
        <w:rPr>
          <w:rFonts w:ascii="Times New Roman" w:hAnsi="Times New Roman" w:cs="Times New Roman"/>
        </w:rPr>
        <w:t xml:space="preserve"> </w:t>
      </w:r>
      <w:r w:rsidRPr="00C36059">
        <w:rPr>
          <w:rFonts w:ascii="Times New Roman" w:hAnsi="Times New Roman" w:cs="Times New Roman"/>
        </w:rPr>
        <w:t>no surgen ni objetos ni lugares. Surgen más bien lugares producidos en sus «estados nacientes», en sus estados de umbrales visuales y táctiles</w:t>
      </w:r>
      <w:r>
        <w:rPr>
          <w:rFonts w:ascii="Times New Roman" w:hAnsi="Times New Roman" w:cs="Times New Roman"/>
        </w:rPr>
        <w:t xml:space="preserve">” (Didi-Huberman, </w:t>
      </w:r>
      <w:r>
        <w:rPr>
          <w:rFonts w:ascii="Times New Roman" w:hAnsi="Times New Roman" w:cs="Times New Roman"/>
          <w:i/>
          <w:iCs/>
        </w:rPr>
        <w:t xml:space="preserve">Ser Cráneo, </w:t>
      </w:r>
      <w:r w:rsidR="001D4EE9">
        <w:rPr>
          <w:rFonts w:ascii="Times New Roman" w:hAnsi="Times New Roman" w:cs="Times New Roman"/>
        </w:rPr>
        <w:t xml:space="preserve">pp. 12). </w:t>
      </w:r>
    </w:p>
    <w:p w14:paraId="5455F2B4" w14:textId="0747B768" w:rsidR="00C1098C" w:rsidRPr="00C36059" w:rsidRDefault="00C36059" w:rsidP="00C1098C">
      <w:pPr>
        <w:spacing w:line="276" w:lineRule="auto"/>
        <w:jc w:val="both"/>
        <w:rPr>
          <w:rFonts w:ascii="Times New Roman" w:hAnsi="Times New Roman" w:cs="Times New Roman"/>
        </w:rPr>
      </w:pPr>
      <w:r>
        <w:rPr>
          <w:rFonts w:ascii="Times New Roman" w:hAnsi="Times New Roman" w:cs="Times New Roman"/>
        </w:rPr>
        <w:t xml:space="preserve">  </w:t>
      </w:r>
    </w:p>
    <w:p w14:paraId="1CDCB051" w14:textId="77777777" w:rsidR="00C1098C" w:rsidRDefault="00C1098C" w:rsidP="00C1098C">
      <w:pPr>
        <w:spacing w:line="276" w:lineRule="auto"/>
        <w:jc w:val="both"/>
        <w:rPr>
          <w:rFonts w:ascii="Times New Roman" w:hAnsi="Times New Roman" w:cs="Times New Roman"/>
        </w:rPr>
      </w:pPr>
    </w:p>
    <w:p w14:paraId="217ED25D" w14:textId="62DB947F" w:rsidR="00C1098C" w:rsidRPr="00C1098C" w:rsidRDefault="00C1098C" w:rsidP="00C1098C">
      <w:pPr>
        <w:spacing w:line="276" w:lineRule="auto"/>
        <w:jc w:val="both"/>
        <w:rPr>
          <w:rFonts w:ascii="Times New Roman" w:hAnsi="Times New Roman" w:cs="Times New Roman"/>
        </w:rPr>
      </w:pPr>
      <w:r>
        <w:rPr>
          <w:rFonts w:ascii="Times New Roman" w:hAnsi="Times New Roman" w:cs="Times New Roman"/>
        </w:rPr>
        <w:t xml:space="preserve"> </w:t>
      </w:r>
    </w:p>
    <w:sectPr w:rsidR="00C1098C" w:rsidRPr="00C109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8C"/>
    <w:rsid w:val="00171323"/>
    <w:rsid w:val="001D4EE9"/>
    <w:rsid w:val="00405468"/>
    <w:rsid w:val="00837A19"/>
    <w:rsid w:val="008E0955"/>
    <w:rsid w:val="008E4933"/>
    <w:rsid w:val="008F056C"/>
    <w:rsid w:val="00A24475"/>
    <w:rsid w:val="00C1098C"/>
    <w:rsid w:val="00C36059"/>
    <w:rsid w:val="00C43AB4"/>
    <w:rsid w:val="00C83366"/>
    <w:rsid w:val="00EC7B2B"/>
    <w:rsid w:val="00FE63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E927"/>
  <w15:chartTrackingRefBased/>
  <w15:docId w15:val="{BD20FB3F-983F-CF45-9A3D-862DACC5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Rodríguez Rodríguez</dc:creator>
  <cp:keywords/>
  <dc:description/>
  <cp:lastModifiedBy>Stefano Lacorazza</cp:lastModifiedBy>
  <cp:revision>2</cp:revision>
  <dcterms:created xsi:type="dcterms:W3CDTF">2024-01-16T19:35:00Z</dcterms:created>
  <dcterms:modified xsi:type="dcterms:W3CDTF">2024-01-16T19:35:00Z</dcterms:modified>
</cp:coreProperties>
</file>