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E4FF1" w14:textId="07484E24" w:rsidR="00B70C16" w:rsidRPr="00D33795" w:rsidRDefault="00B70C16" w:rsidP="00B70C16">
      <w:pPr>
        <w:pStyle w:val="Heading2"/>
        <w:spacing w:line="360" w:lineRule="auto"/>
        <w:jc w:val="both"/>
        <w:rPr>
          <w:lang w:val="it-IT"/>
        </w:rPr>
      </w:pPr>
      <w:r w:rsidRPr="00D33795">
        <w:rPr>
          <w:lang w:val="it-IT"/>
        </w:rPr>
        <w:t xml:space="preserve">Administrative data access in </w:t>
      </w:r>
      <w:r>
        <w:rPr>
          <w:lang w:val="it-IT"/>
        </w:rPr>
        <w:t>Sweden</w:t>
      </w:r>
    </w:p>
    <w:p w14:paraId="3B3DD6E6" w14:textId="77777777" w:rsidR="00B70C16" w:rsidRDefault="00B70C16" w:rsidP="00B70C16">
      <w:pPr>
        <w:rPr>
          <w:b/>
          <w:bCs/>
          <w:lang w:val="it-IT"/>
        </w:rPr>
      </w:pPr>
      <w:r w:rsidRPr="0050257C">
        <w:rPr>
          <w:b/>
          <w:bCs/>
          <w:lang w:val="it-IT"/>
        </w:rPr>
        <w:t xml:space="preserve">Stefano Lombardi </w:t>
      </w:r>
    </w:p>
    <w:p w14:paraId="1BFDC387" w14:textId="77777777" w:rsidR="00B70C16" w:rsidRPr="0050257C" w:rsidRDefault="00B70C16" w:rsidP="00B70C16">
      <w:pPr>
        <w:rPr>
          <w:b/>
          <w:bCs/>
          <w:lang w:val="it-IT"/>
        </w:rPr>
      </w:pPr>
    </w:p>
    <w:p w14:paraId="64E00B9E" w14:textId="159941FE" w:rsidR="00D604E9" w:rsidRDefault="00D604E9" w:rsidP="00D604E9">
      <w:pPr>
        <w:pStyle w:val="Heading2"/>
        <w:spacing w:line="360" w:lineRule="auto"/>
        <w:jc w:val="both"/>
      </w:pPr>
      <w:r>
        <w:t>Abstract</w:t>
      </w:r>
    </w:p>
    <w:p w14:paraId="6198C4DA" w14:textId="26E9A827" w:rsidR="00D604E9" w:rsidRPr="00D604E9" w:rsidRDefault="00D604E9" w:rsidP="00D604E9">
      <w:pPr>
        <w:pStyle w:val="Heading2"/>
        <w:spacing w:after="240" w:line="360" w:lineRule="auto"/>
        <w:jc w:val="both"/>
      </w:pPr>
      <w:r w:rsidRPr="00D604E9">
        <w:rPr>
          <w:rFonts w:asciiTheme="minorHAnsi" w:eastAsiaTheme="minorHAnsi" w:hAnsiTheme="minorHAnsi" w:cstheme="minorBidi"/>
          <w:color w:val="auto"/>
          <w:sz w:val="22"/>
          <w:szCs w:val="22"/>
        </w:rPr>
        <w:t xml:space="preserve">This chapter focuses on the most common and flexible way to access Swedish microdata to do research in </w:t>
      </w:r>
      <w:r>
        <w:rPr>
          <w:rFonts w:asciiTheme="minorHAnsi" w:eastAsiaTheme="minorHAnsi" w:hAnsiTheme="minorHAnsi" w:cstheme="minorBidi"/>
          <w:color w:val="auto"/>
          <w:sz w:val="22"/>
          <w:szCs w:val="22"/>
        </w:rPr>
        <w:t>social sciences</w:t>
      </w:r>
      <w:r w:rsidRPr="00D604E9">
        <w:rPr>
          <w:rFonts w:asciiTheme="minorHAnsi" w:eastAsiaTheme="minorHAnsi" w:hAnsiTheme="minorHAnsi" w:cstheme="minorBidi"/>
          <w:color w:val="auto"/>
          <w:sz w:val="22"/>
          <w:szCs w:val="22"/>
        </w:rPr>
        <w:t>, which is via Statistics Sweden. Two main features make the system equal. First, data access is managed by one authority and the rules for accessing the data remotely are clear. Second, when applying to access microdata, the assessment is made on the legal feasibility of the proposal</w:t>
      </w:r>
      <w:r w:rsidR="00557AFF">
        <w:rPr>
          <w:rFonts w:asciiTheme="minorHAnsi" w:eastAsiaTheme="minorHAnsi" w:hAnsiTheme="minorHAnsi" w:cstheme="minorBidi"/>
          <w:color w:val="auto"/>
          <w:sz w:val="22"/>
          <w:szCs w:val="22"/>
        </w:rPr>
        <w:t xml:space="preserve"> without entering into specific details of whether and how the research proposed is scientifically promising</w:t>
      </w:r>
      <w:r w:rsidRPr="00D604E9">
        <w:rPr>
          <w:rFonts w:asciiTheme="minorHAnsi" w:eastAsiaTheme="minorHAnsi" w:hAnsiTheme="minorHAnsi" w:cstheme="minorBidi"/>
          <w:color w:val="auto"/>
          <w:sz w:val="22"/>
          <w:szCs w:val="22"/>
        </w:rPr>
        <w:t xml:space="preserve">. </w:t>
      </w:r>
      <w:r>
        <w:rPr>
          <w:rFonts w:asciiTheme="minorHAnsi" w:eastAsiaTheme="minorHAnsi" w:hAnsiTheme="minorHAnsi" w:cstheme="minorBidi"/>
          <w:color w:val="auto"/>
          <w:sz w:val="22"/>
          <w:szCs w:val="22"/>
        </w:rPr>
        <w:t>Access to administrative data registers at Statistics Sweden is given</w:t>
      </w:r>
      <w:r w:rsidRPr="00D604E9">
        <w:rPr>
          <w:rFonts w:asciiTheme="minorHAnsi" w:eastAsiaTheme="minorHAnsi" w:hAnsiTheme="minorHAnsi" w:cstheme="minorBidi"/>
          <w:color w:val="auto"/>
          <w:sz w:val="22"/>
          <w:szCs w:val="22"/>
        </w:rPr>
        <w:t xml:space="preserve"> </w:t>
      </w:r>
      <w:r>
        <w:rPr>
          <w:rFonts w:asciiTheme="minorHAnsi" w:eastAsiaTheme="minorHAnsi" w:hAnsiTheme="minorHAnsi" w:cstheme="minorBidi"/>
          <w:color w:val="auto"/>
          <w:sz w:val="22"/>
          <w:szCs w:val="22"/>
        </w:rPr>
        <w:t>provided that</w:t>
      </w:r>
      <w:r w:rsidRPr="00D604E9">
        <w:rPr>
          <w:rFonts w:asciiTheme="minorHAnsi" w:eastAsiaTheme="minorHAnsi" w:hAnsiTheme="minorHAnsi" w:cstheme="minorBidi"/>
          <w:color w:val="auto"/>
          <w:sz w:val="22"/>
          <w:szCs w:val="22"/>
        </w:rPr>
        <w:t xml:space="preserve"> </w:t>
      </w:r>
      <w:r>
        <w:rPr>
          <w:rFonts w:asciiTheme="minorHAnsi" w:eastAsiaTheme="minorHAnsi" w:hAnsiTheme="minorHAnsi" w:cstheme="minorBidi"/>
          <w:color w:val="auto"/>
          <w:sz w:val="22"/>
          <w:szCs w:val="22"/>
        </w:rPr>
        <w:t xml:space="preserve">an </w:t>
      </w:r>
      <w:r w:rsidRPr="00D604E9">
        <w:rPr>
          <w:rFonts w:asciiTheme="minorHAnsi" w:eastAsiaTheme="minorHAnsi" w:hAnsiTheme="minorHAnsi" w:cstheme="minorBidi"/>
          <w:color w:val="auto"/>
          <w:sz w:val="22"/>
          <w:szCs w:val="22"/>
        </w:rPr>
        <w:t>agreement is made between Statistics Sweden and a Swedish institution</w:t>
      </w:r>
      <w:r>
        <w:rPr>
          <w:rFonts w:asciiTheme="minorHAnsi" w:eastAsiaTheme="minorHAnsi" w:hAnsiTheme="minorHAnsi" w:cstheme="minorBidi"/>
          <w:color w:val="auto"/>
          <w:sz w:val="22"/>
          <w:szCs w:val="22"/>
        </w:rPr>
        <w:t>. Therefore,</w:t>
      </w:r>
      <w:r w:rsidRPr="00D604E9">
        <w:rPr>
          <w:rFonts w:asciiTheme="minorHAnsi" w:eastAsiaTheme="minorHAnsi" w:hAnsiTheme="minorHAnsi" w:cstheme="minorBidi"/>
          <w:color w:val="auto"/>
          <w:sz w:val="22"/>
          <w:szCs w:val="22"/>
        </w:rPr>
        <w:t xml:space="preserve"> foreign-based researcher</w:t>
      </w:r>
      <w:r w:rsidR="00E14C38">
        <w:rPr>
          <w:rFonts w:asciiTheme="minorHAnsi" w:eastAsiaTheme="minorHAnsi" w:hAnsiTheme="minorHAnsi" w:cstheme="minorBidi"/>
          <w:color w:val="auto"/>
          <w:sz w:val="22"/>
          <w:szCs w:val="22"/>
        </w:rPr>
        <w:t>s interested in using Swedish microdata</w:t>
      </w:r>
      <w:r w:rsidRPr="00D604E9">
        <w:rPr>
          <w:rFonts w:asciiTheme="minorHAnsi" w:eastAsiaTheme="minorHAnsi" w:hAnsiTheme="minorHAnsi" w:cstheme="minorBidi"/>
          <w:color w:val="auto"/>
          <w:sz w:val="22"/>
          <w:szCs w:val="22"/>
        </w:rPr>
        <w:t xml:space="preserve"> </w:t>
      </w:r>
      <w:r>
        <w:rPr>
          <w:rFonts w:asciiTheme="minorHAnsi" w:eastAsiaTheme="minorHAnsi" w:hAnsiTheme="minorHAnsi" w:cstheme="minorBidi"/>
          <w:color w:val="auto"/>
          <w:sz w:val="22"/>
          <w:szCs w:val="22"/>
        </w:rPr>
        <w:t xml:space="preserve">need to </w:t>
      </w:r>
      <w:r w:rsidR="00E14C38">
        <w:rPr>
          <w:rFonts w:asciiTheme="minorHAnsi" w:eastAsiaTheme="minorHAnsi" w:hAnsiTheme="minorHAnsi" w:cstheme="minorBidi"/>
          <w:color w:val="auto"/>
          <w:sz w:val="22"/>
          <w:szCs w:val="22"/>
        </w:rPr>
        <w:t xml:space="preserve">start a collaboration with Swedish-based researchers and </w:t>
      </w:r>
      <w:r>
        <w:rPr>
          <w:rFonts w:asciiTheme="minorHAnsi" w:eastAsiaTheme="minorHAnsi" w:hAnsiTheme="minorHAnsi" w:cstheme="minorBidi"/>
          <w:color w:val="auto"/>
          <w:sz w:val="22"/>
          <w:szCs w:val="22"/>
        </w:rPr>
        <w:t xml:space="preserve">have a </w:t>
      </w:r>
      <w:r w:rsidRPr="00D604E9">
        <w:rPr>
          <w:rFonts w:asciiTheme="minorHAnsi" w:eastAsiaTheme="minorHAnsi" w:hAnsiTheme="minorHAnsi" w:cstheme="minorBidi"/>
          <w:color w:val="auto"/>
          <w:sz w:val="22"/>
          <w:szCs w:val="22"/>
        </w:rPr>
        <w:t>research agreement with a Swedish institution.</w:t>
      </w:r>
    </w:p>
    <w:p w14:paraId="7A8D2279" w14:textId="71CD072A" w:rsidR="0012290A" w:rsidRDefault="0012290A" w:rsidP="00CE7959">
      <w:pPr>
        <w:pStyle w:val="Heading2"/>
        <w:numPr>
          <w:ilvl w:val="0"/>
          <w:numId w:val="2"/>
        </w:numPr>
        <w:spacing w:line="360" w:lineRule="auto"/>
        <w:jc w:val="both"/>
      </w:pPr>
      <w:r>
        <w:t>Overview</w:t>
      </w:r>
    </w:p>
    <w:p w14:paraId="5E0B5002" w14:textId="41D9697C" w:rsidR="001D5693" w:rsidRDefault="006644F9" w:rsidP="008953AB">
      <w:pPr>
        <w:spacing w:line="360" w:lineRule="auto"/>
        <w:jc w:val="both"/>
      </w:pPr>
      <w:r>
        <w:t xml:space="preserve">This chapter has two aims. First, it </w:t>
      </w:r>
      <w:r w:rsidR="001D5693">
        <w:t>provide</w:t>
      </w:r>
      <w:r>
        <w:t>s</w:t>
      </w:r>
      <w:r w:rsidR="001D5693">
        <w:t xml:space="preserve"> information on how to access Swedish administrative data for research purposes. The focus of the </w:t>
      </w:r>
      <w:r w:rsidR="009B08CD">
        <w:t>discussion</w:t>
      </w:r>
      <w:r w:rsidR="001D5693">
        <w:t xml:space="preserve"> is on data sources generally used to do research</w:t>
      </w:r>
      <w:r w:rsidR="009E660C">
        <w:t xml:space="preserve"> in economics and</w:t>
      </w:r>
      <w:r w:rsidR="001D5693">
        <w:t xml:space="preserve"> social sciences. However, many of the </w:t>
      </w:r>
      <w:r w:rsidR="009B08CD">
        <w:t xml:space="preserve">messages in the chapter as well as the underlying regulation can be seen as general. </w:t>
      </w:r>
      <w:r>
        <w:t>Second, the chapter outlines the data protection regulations currently in place and evaluates the fairness of the system in terms of granting researchers access to the data. The chapter is tailored to the needs of both researchers and policymakers. Researchers will gain an understanding of the types of register-based data available in Sweden, while policymakers in Sweden and beyond will receive a practical overview of how these regulations safeguard the data, while balancing the need to provide public access to administrative data for the greater good.</w:t>
      </w:r>
    </w:p>
    <w:p w14:paraId="698F93F9" w14:textId="4585B64F" w:rsidR="009B08CD" w:rsidRDefault="009B08CD" w:rsidP="007B344A">
      <w:pPr>
        <w:spacing w:line="360" w:lineRule="auto"/>
        <w:jc w:val="both"/>
      </w:pPr>
      <w:r>
        <w:t xml:space="preserve">Administrative registers are </w:t>
      </w:r>
      <w:r w:rsidR="0073583F">
        <w:t>unit-level data (individuals</w:t>
      </w:r>
      <w:r>
        <w:t>, households,</w:t>
      </w:r>
      <w:r w:rsidR="0073583F">
        <w:t xml:space="preserve"> or firms) </w:t>
      </w:r>
      <w:r w:rsidR="00A06360">
        <w:t xml:space="preserve">where units </w:t>
      </w:r>
      <w:r w:rsidR="0073583F">
        <w:t>are followed over time (</w:t>
      </w:r>
      <w:r>
        <w:t xml:space="preserve">most often at the </w:t>
      </w:r>
      <w:r w:rsidR="0073583F">
        <w:t>yearly</w:t>
      </w:r>
      <w:r>
        <w:t xml:space="preserve"> level, but possibly up to the </w:t>
      </w:r>
      <w:r w:rsidR="0073583F">
        <w:t xml:space="preserve">daily level). </w:t>
      </w:r>
      <w:r>
        <w:t>Sweden, like many other Nordic countries, is at the forefront of providing access to microdata for research purposes.</w:t>
      </w:r>
      <w:r w:rsidR="007B344A">
        <w:t xml:space="preserve"> On</w:t>
      </w:r>
      <w:r w:rsidR="00B87D35">
        <w:t>e</w:t>
      </w:r>
      <w:r w:rsidR="007B344A">
        <w:t xml:space="preserve"> important reason for this is that Sweden has a long tradition of digit</w:t>
      </w:r>
      <w:r w:rsidR="00A06360">
        <w:t>iz</w:t>
      </w:r>
      <w:r w:rsidR="007B344A">
        <w:t xml:space="preserve">ation and data infrastructure. Since administrative data are data originally collected for reasons other than for scientific research and statistical </w:t>
      </w:r>
      <w:r w:rsidR="00B87D35">
        <w:t>surveys</w:t>
      </w:r>
      <w:r w:rsidR="007B344A">
        <w:t>, having a well-developed pre-existing data infrastructure has certainly helped gathering and organizing high</w:t>
      </w:r>
      <w:r w:rsidR="00B87D35">
        <w:t>-</w:t>
      </w:r>
      <w:r w:rsidR="007B344A">
        <w:t>quality data sources over the last decades. Political willingness to develop a system where certain expensive policies (such as active labor market policies for the unemployed) are properly evaluated</w:t>
      </w:r>
      <w:r w:rsidR="005849A2">
        <w:t xml:space="preserve"> also</w:t>
      </w:r>
      <w:r w:rsidR="007B344A">
        <w:t xml:space="preserve"> explains why Sweden, again similarly as in other Nordic countries, has a</w:t>
      </w:r>
      <w:r w:rsidR="00A06360">
        <w:t xml:space="preserve"> very </w:t>
      </w:r>
      <w:r w:rsidR="007B344A">
        <w:t>well-developed system of data access.</w:t>
      </w:r>
    </w:p>
    <w:p w14:paraId="317B2995" w14:textId="24602903" w:rsidR="00F0626D" w:rsidRDefault="007E414E" w:rsidP="008953AB">
      <w:pPr>
        <w:spacing w:line="360" w:lineRule="auto"/>
        <w:jc w:val="both"/>
      </w:pPr>
      <w:r>
        <w:lastRenderedPageBreak/>
        <w:t>When it comes to access to microdata, b</w:t>
      </w:r>
      <w:r w:rsidR="007B344A">
        <w:t>roadly speaking, Nordic countries share important similarities</w:t>
      </w:r>
      <w:r>
        <w:t xml:space="preserve"> but also some differences among each other</w:t>
      </w:r>
      <w:r w:rsidR="007B344A">
        <w:t xml:space="preserve">. </w:t>
      </w:r>
      <w:r>
        <w:t xml:space="preserve">Therefore, the reader might also be interested in comparing the data access conditions for Sweden with those for Finland and Denmark, which are also covered in this book. As for the Finnish case, this chapter </w:t>
      </w:r>
      <w:r w:rsidR="005849A2">
        <w:t xml:space="preserve">provides details on some existing data sources, but </w:t>
      </w:r>
      <w:r>
        <w:t xml:space="preserve">does not attempt to provide a </w:t>
      </w:r>
      <w:r w:rsidR="0073583F">
        <w:t>comprehensive list of</w:t>
      </w:r>
      <w:r>
        <w:t xml:space="preserve"> administrative data</w:t>
      </w:r>
      <w:r w:rsidR="0073583F">
        <w:t xml:space="preserve">. Instead, </w:t>
      </w:r>
      <w:r w:rsidR="00E00DCD">
        <w:t xml:space="preserve">the </w:t>
      </w:r>
      <w:r>
        <w:t xml:space="preserve">goal of the discussion </w:t>
      </w:r>
      <w:r w:rsidR="00E00DCD">
        <w:t xml:space="preserve">is to provide details on </w:t>
      </w:r>
      <w:r w:rsidR="005849A2">
        <w:t>the most common and flexible way through which</w:t>
      </w:r>
      <w:r>
        <w:t xml:space="preserve"> a researcher can get access to </w:t>
      </w:r>
      <w:r w:rsidR="005849A2">
        <w:t xml:space="preserve">Swedish </w:t>
      </w:r>
      <w:r>
        <w:t>microdata</w:t>
      </w:r>
      <w:r w:rsidR="00E00DCD">
        <w:t xml:space="preserve">, which is via Statistics </w:t>
      </w:r>
      <w:r>
        <w:t>Sweden (</w:t>
      </w:r>
      <w:r w:rsidRPr="007E414E">
        <w:rPr>
          <w:i/>
          <w:iCs/>
        </w:rPr>
        <w:t>Statistiska centralbyrån</w:t>
      </w:r>
      <w:r>
        <w:t>, henceforth SCB)</w:t>
      </w:r>
      <w:r w:rsidR="00E00DCD">
        <w:t xml:space="preserve">, the </w:t>
      </w:r>
      <w:r>
        <w:t xml:space="preserve">Swedish </w:t>
      </w:r>
      <w:r w:rsidR="00E00DCD">
        <w:t>National Statistical Authority</w:t>
      </w:r>
      <w:r w:rsidR="00FD2FA5">
        <w:t>.</w:t>
      </w:r>
      <w:r w:rsidR="00E00DCD">
        <w:rPr>
          <w:rStyle w:val="FootnoteReference"/>
        </w:rPr>
        <w:footnoteReference w:id="1"/>
      </w:r>
      <w:r w:rsidR="005E419F">
        <w:t xml:space="preserve"> </w:t>
      </w:r>
      <w:r w:rsidR="00704D0C">
        <w:t>SCB’s</w:t>
      </w:r>
      <w:r w:rsidR="00B103D3">
        <w:t xml:space="preserve"> microdata can be used for scientific research</w:t>
      </w:r>
      <w:r w:rsidR="00166813">
        <w:t xml:space="preserve"> </w:t>
      </w:r>
      <w:r w:rsidR="00B103D3">
        <w:t>and can be accessed remotely via secure two-factor authentication</w:t>
      </w:r>
      <w:r w:rsidR="00610D86">
        <w:t>.</w:t>
      </w:r>
      <w:r w:rsidR="005A4211">
        <w:t xml:space="preserve"> </w:t>
      </w:r>
      <w:r w:rsidR="00EF2C69">
        <w:t>The next section broadly describes</w:t>
      </w:r>
      <w:r w:rsidR="004C6951">
        <w:t xml:space="preserve"> </w:t>
      </w:r>
      <w:r w:rsidR="00EF2C69">
        <w:t>the data sources that can be accessed at SCB.</w:t>
      </w:r>
      <w:r w:rsidR="004C6951">
        <w:t xml:space="preserve"> </w:t>
      </w:r>
      <w:r w:rsidR="0091731A">
        <w:t xml:space="preserve"> </w:t>
      </w:r>
      <w:r w:rsidR="004C6951">
        <w:t xml:space="preserve">  </w:t>
      </w:r>
    </w:p>
    <w:p w14:paraId="13A9C792" w14:textId="375918BC" w:rsidR="002D4E82" w:rsidRPr="004C6951" w:rsidRDefault="002D4E82" w:rsidP="008953AB">
      <w:pPr>
        <w:spacing w:line="360" w:lineRule="auto"/>
        <w:jc w:val="both"/>
      </w:pPr>
      <w:r>
        <w:t xml:space="preserve">The rest of the chapter is organized as follows. Section 2 describes different administrative data sources. Section 3 presents information on how to access administrative data at Statistics Sweden. Section 4 describes the data protection rules in place. </w:t>
      </w:r>
      <w:r w:rsidRPr="00F0171C">
        <w:t>Section 5</w:t>
      </w:r>
      <w:r w:rsidR="00F0171C">
        <w:t xml:space="preserve"> presents an assessment of the</w:t>
      </w:r>
      <w:r>
        <w:t xml:space="preserve"> equality of data access, and Section </w:t>
      </w:r>
      <w:r w:rsidR="00F0171C">
        <w:t>6</w:t>
      </w:r>
      <w:r>
        <w:t xml:space="preserve"> concludes with a discussion on data access from a policy perspective.</w:t>
      </w:r>
    </w:p>
    <w:p w14:paraId="0DB5C120" w14:textId="77777777" w:rsidR="005A4211" w:rsidRDefault="005A4211" w:rsidP="005A4211">
      <w:pPr>
        <w:pStyle w:val="Heading2"/>
        <w:numPr>
          <w:ilvl w:val="0"/>
          <w:numId w:val="2"/>
        </w:numPr>
        <w:spacing w:after="240"/>
      </w:pPr>
      <w:r>
        <w:t>Data sources</w:t>
      </w:r>
    </w:p>
    <w:p w14:paraId="3E6D1DCF" w14:textId="38CC0669" w:rsidR="003900FD" w:rsidRDefault="003900FD" w:rsidP="003900FD">
      <w:pPr>
        <w:spacing w:line="360" w:lineRule="auto"/>
        <w:jc w:val="both"/>
      </w:pPr>
      <w:r>
        <w:t>All microdata accessed from SCB’s servers can be combined by using protected and unique unit identifiers (pseudoidentifiers).</w:t>
      </w:r>
      <w:r w:rsidR="00FB3BB5">
        <w:t xml:space="preserve"> SCB</w:t>
      </w:r>
      <w:r w:rsidR="00FB3BB5" w:rsidRPr="00FB3BB5">
        <w:t xml:space="preserve"> creates project-specific </w:t>
      </w:r>
      <w:r w:rsidR="00FB3BB5">
        <w:t>pseudoidentifiers that are valid only within a given project and destroyed when the project is completed</w:t>
      </w:r>
      <w:r w:rsidR="00FB3BB5" w:rsidRPr="00FB3BB5">
        <w:t>.</w:t>
      </w:r>
      <w:r w:rsidR="00461BDE">
        <w:t xml:space="preserve"> Pseudoidentifiers</w:t>
      </w:r>
      <w:r>
        <w:t xml:space="preserve"> </w:t>
      </w:r>
      <w:r w:rsidR="00461BDE">
        <w:t xml:space="preserve">allow </w:t>
      </w:r>
      <w:r w:rsidR="00A06360">
        <w:t xml:space="preserve">researchers </w:t>
      </w:r>
      <w:r w:rsidR="00461BDE">
        <w:t xml:space="preserve">to </w:t>
      </w:r>
      <w:r>
        <w:t xml:space="preserve">follow </w:t>
      </w:r>
      <w:r w:rsidR="00461BDE">
        <w:t xml:space="preserve">individuals </w:t>
      </w:r>
      <w:r>
        <w:t xml:space="preserve">over time and </w:t>
      </w:r>
      <w:r w:rsidR="00461BDE">
        <w:t xml:space="preserve">to link </w:t>
      </w:r>
      <w:r>
        <w:t xml:space="preserve">their information across registers. As for the case of other Nordic countries, workers can be linked to firms and establishments, co-workers to their peers, and </w:t>
      </w:r>
      <w:r w:rsidR="00A06360">
        <w:t xml:space="preserve">individuals to </w:t>
      </w:r>
      <w:r>
        <w:t xml:space="preserve">spouses and other family members across generations. </w:t>
      </w:r>
      <w:r w:rsidR="00BB2834">
        <w:t xml:space="preserve">On </w:t>
      </w:r>
      <w:r w:rsidR="00603016">
        <w:t>the other</w:t>
      </w:r>
      <w:r w:rsidR="00BB2834">
        <w:t xml:space="preserve"> hand, detailed firm registers with yearly information from balance sheet and personnel data can be linked to the employers over time.</w:t>
      </w:r>
    </w:p>
    <w:p w14:paraId="279B03DA" w14:textId="45484824" w:rsidR="00A27440" w:rsidRPr="00FA09EB" w:rsidRDefault="00F4774E" w:rsidP="003900FD">
      <w:pPr>
        <w:spacing w:line="360" w:lineRule="auto"/>
        <w:jc w:val="both"/>
      </w:pPr>
      <w:r>
        <w:t xml:space="preserve">This information can be used to analyze several aspects of people’s socioeconomic trajectories over their lifetime. </w:t>
      </w:r>
      <w:r w:rsidR="006516A2">
        <w:t xml:space="preserve">For instance, </w:t>
      </w:r>
      <w:r>
        <w:t xml:space="preserve">worker- and employer-level characteristics </w:t>
      </w:r>
      <w:r w:rsidR="006516A2">
        <w:t xml:space="preserve">and daily unemployment </w:t>
      </w:r>
      <w:r w:rsidR="00B054F9">
        <w:t xml:space="preserve">and program </w:t>
      </w:r>
      <w:r w:rsidR="006516A2">
        <w:t xml:space="preserve">spell data </w:t>
      </w:r>
      <w:r>
        <w:t>can be combined to analyze the effectiveness of labor market policies</w:t>
      </w:r>
      <w:r w:rsidR="00B054F9">
        <w:t xml:space="preserve"> (Lombardi et al., 2018</w:t>
      </w:r>
      <w:r w:rsidR="00C979F0">
        <w:t xml:space="preserve">; </w:t>
      </w:r>
      <w:r w:rsidR="00B054F9">
        <w:t>Lombardi et al., 2024</w:t>
      </w:r>
      <w:r w:rsidR="00090309">
        <w:t>; van den Berg and Vikström, 2022</w:t>
      </w:r>
      <w:r w:rsidR="00B054F9">
        <w:t>)</w:t>
      </w:r>
      <w:r w:rsidR="00090309">
        <w:t xml:space="preserve"> and </w:t>
      </w:r>
      <w:r w:rsidR="00B042C5">
        <w:t xml:space="preserve">to study </w:t>
      </w:r>
      <w:r w:rsidR="00090309">
        <w:t>unemployment insurance systems (van den Berg and Vikström, 2014; Lombardi, 2019)</w:t>
      </w:r>
      <w:r w:rsidR="006516A2">
        <w:t xml:space="preserve">. The matched employer-employee nature of the data </w:t>
      </w:r>
      <w:r w:rsidR="00B042C5">
        <w:t>can be</w:t>
      </w:r>
      <w:r w:rsidR="006516A2">
        <w:t xml:space="preserve"> used </w:t>
      </w:r>
      <w:r w:rsidR="00090309">
        <w:t>to study the consequences of</w:t>
      </w:r>
      <w:r w:rsidR="006516A2">
        <w:t xml:space="preserve"> job loss (e.g., </w:t>
      </w:r>
      <w:r w:rsidR="00FA09EB">
        <w:t>Bertheau</w:t>
      </w:r>
      <w:r w:rsidR="006516A2">
        <w:t xml:space="preserve"> et al., 2024)</w:t>
      </w:r>
      <w:r w:rsidR="00090309">
        <w:t>, wage inequality (</w:t>
      </w:r>
      <w:r w:rsidR="00090309" w:rsidRPr="00090309">
        <w:rPr>
          <w:rFonts w:ascii="Arial" w:hAnsi="Arial" w:cs="Arial"/>
          <w:color w:val="222222"/>
          <w:sz w:val="20"/>
          <w:szCs w:val="20"/>
          <w:shd w:val="clear" w:color="auto" w:fill="FFFFFF"/>
        </w:rPr>
        <w:t xml:space="preserve">Åslund </w:t>
      </w:r>
      <w:r w:rsidR="00090309">
        <w:rPr>
          <w:rFonts w:ascii="Arial" w:hAnsi="Arial" w:cs="Arial"/>
          <w:color w:val="222222"/>
          <w:sz w:val="20"/>
          <w:szCs w:val="20"/>
          <w:shd w:val="clear" w:color="auto" w:fill="FFFFFF"/>
        </w:rPr>
        <w:t>et al., 2023</w:t>
      </w:r>
      <w:r w:rsidR="00090309">
        <w:t>)</w:t>
      </w:r>
      <w:r w:rsidR="00B042C5">
        <w:t>,</w:t>
      </w:r>
      <w:r w:rsidR="00090309">
        <w:t xml:space="preserve"> and the functioning of labor markets for different networks and groups of workers (Kramarz and Nordström Skans, 2014; Bratu et al., 2020)</w:t>
      </w:r>
      <w:r w:rsidR="00FA09EB">
        <w:t xml:space="preserve">. Detailed education information and </w:t>
      </w:r>
      <w:r w:rsidR="00B042C5">
        <w:t xml:space="preserve">people’s </w:t>
      </w:r>
      <w:r w:rsidR="00FA09EB">
        <w:t xml:space="preserve">demographics further allow to </w:t>
      </w:r>
      <w:r w:rsidR="00B042C5">
        <w:t xml:space="preserve">study </w:t>
      </w:r>
      <w:r w:rsidR="00FA09EB">
        <w:t xml:space="preserve">education institutions (e.g., Fredriksson et al., 2013; Fredriksson and </w:t>
      </w:r>
      <w:r w:rsidR="00FA09EB" w:rsidRPr="00FA09EB">
        <w:t>Öckert</w:t>
      </w:r>
      <w:r w:rsidR="00FA09EB">
        <w:t xml:space="preserve">, 2014). </w:t>
      </w:r>
      <w:r w:rsidR="00B042C5">
        <w:t>Moreover, l</w:t>
      </w:r>
      <w:r w:rsidR="00FA09EB">
        <w:t xml:space="preserve">inking detailed </w:t>
      </w:r>
      <w:r w:rsidR="00FA09EB">
        <w:lastRenderedPageBreak/>
        <w:t>individual-level data on earnings and other socioeconomic characteristics across generation allows to assess the degree of intergenerational income mobility (</w:t>
      </w:r>
      <w:r w:rsidR="00C979F0">
        <w:t>Adermon et al., 2021; Bratu et al., 2023</w:t>
      </w:r>
      <w:r w:rsidR="00090309">
        <w:t>)</w:t>
      </w:r>
    </w:p>
    <w:p w14:paraId="6B8CE086" w14:textId="322F115A" w:rsidR="00EF2C69" w:rsidRDefault="00EF2C69" w:rsidP="00C95592">
      <w:pPr>
        <w:spacing w:line="360" w:lineRule="auto"/>
        <w:jc w:val="both"/>
      </w:pPr>
      <w:r>
        <w:t>SCB provides access to a wide range of administrative registers</w:t>
      </w:r>
      <w:r w:rsidR="00CB22BE">
        <w:t xml:space="preserve"> ready to be used (</w:t>
      </w:r>
      <w:r w:rsidR="00CB22BE">
        <w:rPr>
          <w:i/>
          <w:iCs/>
        </w:rPr>
        <w:t>ready-made data</w:t>
      </w:r>
      <w:r w:rsidR="00CB22BE">
        <w:t>)</w:t>
      </w:r>
      <w:r>
        <w:t xml:space="preserve">. </w:t>
      </w:r>
      <w:r w:rsidR="008073D3">
        <w:t>It is also possible to require data to be pre-processed and linked to other registers based on the user’s needs (</w:t>
      </w:r>
      <w:r w:rsidR="008073D3">
        <w:rPr>
          <w:i/>
          <w:iCs/>
        </w:rPr>
        <w:t>tailored data</w:t>
      </w:r>
      <w:r w:rsidR="008073D3">
        <w:t xml:space="preserve">). </w:t>
      </w:r>
      <w:r>
        <w:t>On top of this, and under specific conditions, data delivered from external organizations (including population-level microdata</w:t>
      </w:r>
      <w:r w:rsidR="00920B3B">
        <w:t>),</w:t>
      </w:r>
      <w:r>
        <w:t xml:space="preserve"> </w:t>
      </w:r>
      <w:r w:rsidR="00CB22BE">
        <w:t>or</w:t>
      </w:r>
      <w:r>
        <w:t xml:space="preserve"> self-collected data can be linked to </w:t>
      </w:r>
      <w:r w:rsidR="00CB22BE">
        <w:t>SCB</w:t>
      </w:r>
      <w:r>
        <w:t xml:space="preserve"> registers</w:t>
      </w:r>
      <w:r w:rsidR="00561C8E">
        <w:t xml:space="preserve"> (</w:t>
      </w:r>
      <w:r w:rsidR="00561C8E">
        <w:rPr>
          <w:i/>
          <w:iCs/>
        </w:rPr>
        <w:t>external data</w:t>
      </w:r>
      <w:r w:rsidR="00561C8E">
        <w:t>)</w:t>
      </w:r>
      <w:r>
        <w:t xml:space="preserve">. </w:t>
      </w:r>
      <w:r w:rsidR="00561C8E">
        <w:t xml:space="preserve">The possibility </w:t>
      </w:r>
      <w:r>
        <w:t>of pseudonymizing and linking external data to the other databases used in a project</w:t>
      </w:r>
      <w:r w:rsidR="00920B3B">
        <w:t xml:space="preserve"> makes</w:t>
      </w:r>
      <w:r>
        <w:t xml:space="preserve"> </w:t>
      </w:r>
      <w:r w:rsidR="00920B3B">
        <w:t xml:space="preserve">the </w:t>
      </w:r>
      <w:r>
        <w:t xml:space="preserve">overall system </w:t>
      </w:r>
      <w:r w:rsidR="00A06360">
        <w:t xml:space="preserve">very </w:t>
      </w:r>
      <w:r>
        <w:t>flexible.</w:t>
      </w:r>
    </w:p>
    <w:p w14:paraId="545A6789" w14:textId="3E830EEB" w:rsidR="00E24A10" w:rsidRDefault="00C95592" w:rsidP="005D4D5B">
      <w:pPr>
        <w:spacing w:line="360" w:lineRule="auto"/>
        <w:jc w:val="both"/>
      </w:pPr>
      <w:r w:rsidRPr="00C95592">
        <w:rPr>
          <w:i/>
          <w:iCs/>
        </w:rPr>
        <w:t>Ready-made</w:t>
      </w:r>
      <w:r>
        <w:t xml:space="preserve"> </w:t>
      </w:r>
      <w:r w:rsidR="00557CA0">
        <w:t>registers</w:t>
      </w:r>
      <w:r w:rsidR="005D4D5B">
        <w:t xml:space="preserve"> </w:t>
      </w:r>
      <w:r w:rsidR="00557CA0">
        <w:t xml:space="preserve">are </w:t>
      </w:r>
      <w:r>
        <w:t xml:space="preserve">register databases </w:t>
      </w:r>
      <w:r w:rsidR="005D4D5B">
        <w:t xml:space="preserve">cleaned and made available for research </w:t>
      </w:r>
      <w:r w:rsidR="00547407">
        <w:t xml:space="preserve">and statistical </w:t>
      </w:r>
      <w:r w:rsidR="005D4D5B">
        <w:t>purposes on SCB’s servers</w:t>
      </w:r>
      <w:r w:rsidR="007D7159">
        <w:t>.</w:t>
      </w:r>
      <w:r w:rsidR="005D4D5B">
        <w:t xml:space="preserve"> Many research questions in economics and social sciences can be answered by using this</w:t>
      </w:r>
      <w:r w:rsidR="007D7159">
        <w:t xml:space="preserve"> </w:t>
      </w:r>
      <w:r w:rsidR="005D4D5B">
        <w:t>source of information and without relying on externally li</w:t>
      </w:r>
      <w:r w:rsidR="00A06360">
        <w:t>n</w:t>
      </w:r>
      <w:r w:rsidR="005D4D5B">
        <w:t>ked</w:t>
      </w:r>
      <w:r w:rsidR="00A06360">
        <w:t xml:space="preserve"> data</w:t>
      </w:r>
      <w:r w:rsidR="005D4D5B">
        <w:t>. Ready-made registers include</w:t>
      </w:r>
      <w:r>
        <w:t xml:space="preserve"> </w:t>
      </w:r>
      <w:r w:rsidR="007926F9">
        <w:t>very</w:t>
      </w:r>
      <w:r>
        <w:t xml:space="preserve"> detailed</w:t>
      </w:r>
      <w:r w:rsidR="00E64FA8">
        <w:t>, population-level,</w:t>
      </w:r>
      <w:r>
        <w:t xml:space="preserve"> </w:t>
      </w:r>
      <w:r w:rsidR="007926F9">
        <w:t xml:space="preserve">longitudinal information on </w:t>
      </w:r>
      <w:r>
        <w:t xml:space="preserve">individuals and </w:t>
      </w:r>
      <w:r w:rsidR="005D4D5B">
        <w:t>employers.</w:t>
      </w:r>
      <w:r w:rsidR="0017471C">
        <w:rPr>
          <w:rStyle w:val="FootnoteReference"/>
        </w:rPr>
        <w:footnoteReference w:id="2"/>
      </w:r>
      <w:r w:rsidR="005D4D5B">
        <w:t xml:space="preserve"> </w:t>
      </w:r>
      <w:r w:rsidR="003201C5">
        <w:t>On SCB website (Swedish version), t</w:t>
      </w:r>
      <w:r w:rsidR="007926F9">
        <w:t>he available information</w:t>
      </w:r>
      <w:r w:rsidR="005D4D5B">
        <w:t xml:space="preserve"> is </w:t>
      </w:r>
      <w:r w:rsidR="003201C5">
        <w:t>div</w:t>
      </w:r>
      <w:r w:rsidR="00A06360">
        <w:t>id</w:t>
      </w:r>
      <w:r w:rsidR="003201C5">
        <w:t>ed into</w:t>
      </w:r>
      <w:r w:rsidR="00372825">
        <w:t xml:space="preserve"> the following categories</w:t>
      </w:r>
      <w:r w:rsidR="00FE7BA8">
        <w:t>:</w:t>
      </w:r>
      <w:r w:rsidR="009C32D1">
        <w:rPr>
          <w:rStyle w:val="FootnoteReference"/>
        </w:rPr>
        <w:footnoteReference w:id="3"/>
      </w:r>
      <w:r w:rsidR="003201C5">
        <w:t xml:space="preserve"> </w:t>
      </w:r>
    </w:p>
    <w:p w14:paraId="7F1BD833" w14:textId="69106CFC" w:rsidR="00096171" w:rsidRDefault="00096171" w:rsidP="00096171">
      <w:pPr>
        <w:pStyle w:val="ListParagraph"/>
        <w:numPr>
          <w:ilvl w:val="0"/>
          <w:numId w:val="14"/>
        </w:numPr>
        <w:spacing w:line="360" w:lineRule="auto"/>
        <w:jc w:val="both"/>
      </w:pPr>
      <w:r>
        <w:t>Labor market:</w:t>
      </w:r>
    </w:p>
    <w:p w14:paraId="33AC62C6" w14:textId="3243E633" w:rsidR="00096171" w:rsidRDefault="00096171" w:rsidP="00B95149">
      <w:pPr>
        <w:pStyle w:val="ListParagraph"/>
        <w:numPr>
          <w:ilvl w:val="1"/>
          <w:numId w:val="14"/>
        </w:numPr>
        <w:spacing w:line="360" w:lineRule="auto"/>
        <w:jc w:val="both"/>
      </w:pPr>
      <w:r>
        <w:t>link</w:t>
      </w:r>
      <w:r w:rsidR="006558B6">
        <w:t xml:space="preserve"> between </w:t>
      </w:r>
      <w:r w:rsidRPr="00096171">
        <w:t>compan</w:t>
      </w:r>
      <w:r w:rsidR="006558B6">
        <w:t>y-level information</w:t>
      </w:r>
      <w:r w:rsidRPr="00096171">
        <w:t xml:space="preserve"> and shareholders (entrepreneur, owner).</w:t>
      </w:r>
      <w:r w:rsidR="00B95149">
        <w:t xml:space="preserve"> </w:t>
      </w:r>
    </w:p>
    <w:p w14:paraId="30B6174F" w14:textId="6BD2CA4B" w:rsidR="00B95149" w:rsidRDefault="00B95149" w:rsidP="006558B6">
      <w:pPr>
        <w:pStyle w:val="ListParagraph"/>
        <w:numPr>
          <w:ilvl w:val="1"/>
          <w:numId w:val="14"/>
        </w:numPr>
        <w:spacing w:line="360" w:lineRule="auto"/>
        <w:jc w:val="both"/>
      </w:pPr>
      <w:r>
        <w:t xml:space="preserve">information on </w:t>
      </w:r>
      <w:r w:rsidR="006558B6" w:rsidRPr="006558B6">
        <w:t xml:space="preserve">sickness, parental and unemployment insurance at </w:t>
      </w:r>
      <w:r w:rsidR="006558B6">
        <w:t xml:space="preserve">the </w:t>
      </w:r>
      <w:r w:rsidR="006558B6" w:rsidRPr="006558B6">
        <w:t>individual level</w:t>
      </w:r>
      <w:r>
        <w:t>. Detailed set of individual-level demographics and income characteristics measured at the end of the year and at the employment spell level.</w:t>
      </w:r>
    </w:p>
    <w:p w14:paraId="3DEE2B65" w14:textId="7A6B892E" w:rsidR="00096171" w:rsidRDefault="00B95149" w:rsidP="006558B6">
      <w:pPr>
        <w:pStyle w:val="ListParagraph"/>
        <w:numPr>
          <w:ilvl w:val="1"/>
          <w:numId w:val="14"/>
        </w:numPr>
        <w:spacing w:line="360" w:lineRule="auto"/>
        <w:jc w:val="both"/>
      </w:pPr>
      <w:r>
        <w:t xml:space="preserve">link between a person and their </w:t>
      </w:r>
      <w:r w:rsidR="006558B6">
        <w:t xml:space="preserve">family, </w:t>
      </w:r>
      <w:r w:rsidR="00BA2A1F">
        <w:t>workplace,</w:t>
      </w:r>
      <w:r w:rsidR="006558B6">
        <w:t xml:space="preserve"> and firm. </w:t>
      </w:r>
    </w:p>
    <w:p w14:paraId="389228B4" w14:textId="4A38D7D8" w:rsidR="006558B6" w:rsidRDefault="00B95149" w:rsidP="006558B6">
      <w:pPr>
        <w:pStyle w:val="ListParagraph"/>
        <w:numPr>
          <w:ilvl w:val="1"/>
          <w:numId w:val="14"/>
        </w:numPr>
        <w:spacing w:line="360" w:lineRule="auto"/>
        <w:jc w:val="both"/>
      </w:pPr>
      <w:r>
        <w:t>wage</w:t>
      </w:r>
      <w:r w:rsidR="006558B6" w:rsidRPr="006558B6">
        <w:t xml:space="preserve"> level</w:t>
      </w:r>
      <w:r w:rsidR="006558B6">
        <w:t xml:space="preserve"> and </w:t>
      </w:r>
      <w:r w:rsidR="006558B6" w:rsidRPr="006558B6">
        <w:t>structure in the private and public sector</w:t>
      </w:r>
      <w:r>
        <w:t>.</w:t>
      </w:r>
    </w:p>
    <w:p w14:paraId="39ECE9F4" w14:textId="6F7EDF73" w:rsidR="00B95149" w:rsidRDefault="00B95149" w:rsidP="00B95149">
      <w:pPr>
        <w:pStyle w:val="ListParagraph"/>
        <w:numPr>
          <w:ilvl w:val="0"/>
          <w:numId w:val="14"/>
        </w:numPr>
        <w:spacing w:line="360" w:lineRule="auto"/>
        <w:jc w:val="both"/>
      </w:pPr>
      <w:r>
        <w:t>Demograph</w:t>
      </w:r>
      <w:r w:rsidR="00943F48">
        <w:t>y</w:t>
      </w:r>
      <w:r>
        <w:t>:</w:t>
      </w:r>
    </w:p>
    <w:p w14:paraId="11091C96" w14:textId="25B875A6" w:rsidR="00B95149" w:rsidRDefault="00B95149" w:rsidP="00B95149">
      <w:pPr>
        <w:pStyle w:val="ListParagraph"/>
        <w:numPr>
          <w:ilvl w:val="1"/>
          <w:numId w:val="14"/>
        </w:numPr>
        <w:spacing w:line="360" w:lineRule="auto"/>
        <w:jc w:val="both"/>
      </w:pPr>
      <w:r w:rsidRPr="00B95149">
        <w:t xml:space="preserve">multigenerational </w:t>
      </w:r>
      <w:r>
        <w:t xml:space="preserve">links of people born after 1931 and </w:t>
      </w:r>
      <w:r w:rsidRPr="00B95149">
        <w:t>registered in Sweden since 1961</w:t>
      </w:r>
      <w:r>
        <w:t xml:space="preserve"> (both with biological and with adoptive parents).</w:t>
      </w:r>
    </w:p>
    <w:p w14:paraId="22FA8CC7" w14:textId="2AD8B195" w:rsidR="00B95149" w:rsidRDefault="00B95149" w:rsidP="00B95149">
      <w:pPr>
        <w:pStyle w:val="ListParagraph"/>
        <w:numPr>
          <w:ilvl w:val="1"/>
          <w:numId w:val="14"/>
        </w:numPr>
        <w:spacing w:line="360" w:lineRule="auto"/>
        <w:jc w:val="both"/>
      </w:pPr>
      <w:r>
        <w:t xml:space="preserve">Demographics register (since 1968) </w:t>
      </w:r>
      <w:r w:rsidR="00555C79">
        <w:t>with information on gender, age, marital status, citizenship, date of birth and death, immigration and emigration episodes, among others.</w:t>
      </w:r>
    </w:p>
    <w:p w14:paraId="1190F153" w14:textId="0F8B82C7" w:rsidR="00B95149" w:rsidRDefault="00555C79" w:rsidP="00B95149">
      <w:pPr>
        <w:pStyle w:val="ListParagraph"/>
        <w:numPr>
          <w:ilvl w:val="0"/>
          <w:numId w:val="14"/>
        </w:numPr>
        <w:spacing w:line="360" w:lineRule="auto"/>
        <w:jc w:val="both"/>
      </w:pPr>
      <w:r>
        <w:t>Property:</w:t>
      </w:r>
    </w:p>
    <w:p w14:paraId="3F1006A1" w14:textId="7568EDBF" w:rsidR="00555C79" w:rsidRDefault="00555C79" w:rsidP="00555C79">
      <w:pPr>
        <w:pStyle w:val="ListParagraph"/>
        <w:numPr>
          <w:ilvl w:val="1"/>
          <w:numId w:val="14"/>
        </w:numPr>
        <w:spacing w:line="360" w:lineRule="auto"/>
        <w:jc w:val="both"/>
      </w:pPr>
      <w:r w:rsidRPr="00555C79">
        <w:t>microdata about all properties, buildings, addresses and apartments in Sweden.</w:t>
      </w:r>
    </w:p>
    <w:p w14:paraId="1E62BF9C" w14:textId="2A5FDBF6" w:rsidR="00555C79" w:rsidRDefault="00555C79" w:rsidP="00555C79">
      <w:pPr>
        <w:pStyle w:val="ListParagraph"/>
        <w:numPr>
          <w:ilvl w:val="1"/>
          <w:numId w:val="14"/>
        </w:numPr>
        <w:spacing w:line="360" w:lineRule="auto"/>
        <w:jc w:val="both"/>
      </w:pPr>
      <w:r w:rsidRPr="00555C79">
        <w:t xml:space="preserve">property price register </w:t>
      </w:r>
      <w:r>
        <w:t>on</w:t>
      </w:r>
      <w:r w:rsidRPr="00555C79">
        <w:t xml:space="preserve"> sales and other transfers of properties</w:t>
      </w:r>
      <w:r>
        <w:t>, for all types of properties</w:t>
      </w:r>
    </w:p>
    <w:p w14:paraId="4A2988FB" w14:textId="0590E4F5" w:rsidR="00555C79" w:rsidRDefault="00555C79" w:rsidP="00555C79">
      <w:pPr>
        <w:pStyle w:val="ListParagraph"/>
        <w:numPr>
          <w:ilvl w:val="0"/>
          <w:numId w:val="14"/>
        </w:numPr>
        <w:spacing w:line="360" w:lineRule="auto"/>
        <w:jc w:val="both"/>
      </w:pPr>
      <w:r>
        <w:t>Business:</w:t>
      </w:r>
    </w:p>
    <w:p w14:paraId="0CD1ADF4" w14:textId="04E8C9A8" w:rsidR="00555C79" w:rsidRDefault="00555C79" w:rsidP="00555C79">
      <w:pPr>
        <w:pStyle w:val="ListParagraph"/>
        <w:numPr>
          <w:ilvl w:val="1"/>
          <w:numId w:val="14"/>
        </w:numPr>
        <w:spacing w:line="360" w:lineRule="auto"/>
        <w:jc w:val="both"/>
      </w:pPr>
      <w:r>
        <w:t>detailed firm and workplace balance sheet information.</w:t>
      </w:r>
    </w:p>
    <w:p w14:paraId="41C90AB1" w14:textId="61C3F8A2" w:rsidR="00555C79" w:rsidRDefault="00555C79" w:rsidP="00555C79">
      <w:pPr>
        <w:pStyle w:val="ListParagraph"/>
        <w:numPr>
          <w:ilvl w:val="1"/>
          <w:numId w:val="14"/>
        </w:numPr>
        <w:spacing w:line="360" w:lineRule="auto"/>
        <w:jc w:val="both"/>
      </w:pPr>
      <w:r>
        <w:lastRenderedPageBreak/>
        <w:t>energy use, company expenditures on IT, foreign trade in goods, R&amp;D register</w:t>
      </w:r>
    </w:p>
    <w:p w14:paraId="520E2F29" w14:textId="342F9401" w:rsidR="00555C79" w:rsidRDefault="00555C79" w:rsidP="00555C79">
      <w:pPr>
        <w:pStyle w:val="ListParagraph"/>
        <w:numPr>
          <w:ilvl w:val="0"/>
          <w:numId w:val="14"/>
        </w:numPr>
        <w:spacing w:line="360" w:lineRule="auto"/>
        <w:jc w:val="both"/>
      </w:pPr>
      <w:r>
        <w:t>Household finances and expenses</w:t>
      </w:r>
    </w:p>
    <w:p w14:paraId="5E5F1F3F" w14:textId="4375D6E9" w:rsidR="00555C79" w:rsidRDefault="00555C79" w:rsidP="00555C79">
      <w:pPr>
        <w:pStyle w:val="ListParagraph"/>
        <w:numPr>
          <w:ilvl w:val="0"/>
          <w:numId w:val="14"/>
        </w:numPr>
        <w:spacing w:line="360" w:lineRule="auto"/>
        <w:jc w:val="both"/>
      </w:pPr>
      <w:r>
        <w:t>Income and taxation</w:t>
      </w:r>
    </w:p>
    <w:p w14:paraId="6F8C1717" w14:textId="34011BD8" w:rsidR="00555C79" w:rsidRDefault="00555C79" w:rsidP="00555C79">
      <w:pPr>
        <w:pStyle w:val="ListParagraph"/>
        <w:numPr>
          <w:ilvl w:val="1"/>
          <w:numId w:val="14"/>
        </w:numPr>
        <w:spacing w:line="360" w:lineRule="auto"/>
        <w:jc w:val="both"/>
      </w:pPr>
      <w:r>
        <w:t>register on financial assets and liabilities.</w:t>
      </w:r>
    </w:p>
    <w:p w14:paraId="289CDBD6" w14:textId="7E7C2B1F" w:rsidR="00555C79" w:rsidRDefault="00555C79" w:rsidP="00555C79">
      <w:pPr>
        <w:pStyle w:val="ListParagraph"/>
        <w:numPr>
          <w:ilvl w:val="1"/>
          <w:numId w:val="14"/>
        </w:numPr>
        <w:spacing w:line="360" w:lineRule="auto"/>
        <w:jc w:val="both"/>
      </w:pPr>
      <w:r>
        <w:t>income and taxation register</w:t>
      </w:r>
    </w:p>
    <w:p w14:paraId="1F2B5C04" w14:textId="6DEB2253" w:rsidR="00555C79" w:rsidRDefault="00555C79" w:rsidP="00555C79">
      <w:pPr>
        <w:pStyle w:val="ListParagraph"/>
        <w:numPr>
          <w:ilvl w:val="1"/>
          <w:numId w:val="14"/>
        </w:numPr>
        <w:spacing w:line="360" w:lineRule="auto"/>
        <w:jc w:val="both"/>
      </w:pPr>
      <w:r>
        <w:t>register of capital gains and losses</w:t>
      </w:r>
    </w:p>
    <w:p w14:paraId="7C9063BC" w14:textId="6262057C" w:rsidR="00555C79" w:rsidRDefault="00555C79" w:rsidP="00555C79">
      <w:pPr>
        <w:pStyle w:val="ListParagraph"/>
        <w:numPr>
          <w:ilvl w:val="0"/>
          <w:numId w:val="14"/>
        </w:numPr>
        <w:spacing w:line="360" w:lineRule="auto"/>
        <w:jc w:val="both"/>
      </w:pPr>
      <w:r>
        <w:t>Education</w:t>
      </w:r>
    </w:p>
    <w:p w14:paraId="1539B2E4" w14:textId="0114A6A6" w:rsidR="00555C79" w:rsidRDefault="00555C79" w:rsidP="00555C79">
      <w:pPr>
        <w:pStyle w:val="ListParagraph"/>
        <w:numPr>
          <w:ilvl w:val="1"/>
          <w:numId w:val="14"/>
        </w:numPr>
        <w:spacing w:line="360" w:lineRule="auto"/>
        <w:jc w:val="both"/>
      </w:pPr>
      <w:r>
        <w:t>education enrolment</w:t>
      </w:r>
    </w:p>
    <w:p w14:paraId="2363750C" w14:textId="77777777" w:rsidR="00555C79" w:rsidRDefault="00555C79" w:rsidP="00555C79">
      <w:pPr>
        <w:pStyle w:val="ListParagraph"/>
        <w:numPr>
          <w:ilvl w:val="1"/>
          <w:numId w:val="14"/>
        </w:numPr>
        <w:spacing w:line="360" w:lineRule="auto"/>
        <w:jc w:val="both"/>
      </w:pPr>
      <w:r>
        <w:t>final grades from upper secondary school</w:t>
      </w:r>
    </w:p>
    <w:p w14:paraId="2E0E5851" w14:textId="77777777" w:rsidR="00555C79" w:rsidRDefault="00555C79" w:rsidP="00555C79">
      <w:pPr>
        <w:pStyle w:val="ListParagraph"/>
        <w:numPr>
          <w:ilvl w:val="1"/>
          <w:numId w:val="14"/>
        </w:numPr>
        <w:spacing w:line="360" w:lineRule="auto"/>
        <w:jc w:val="both"/>
      </w:pPr>
      <w:r>
        <w:t>teacher-level information</w:t>
      </w:r>
    </w:p>
    <w:p w14:paraId="53BDF23F" w14:textId="1445DC67" w:rsidR="00555C79" w:rsidRDefault="00555C79" w:rsidP="00555C79">
      <w:pPr>
        <w:pStyle w:val="ListParagraph"/>
        <w:numPr>
          <w:ilvl w:val="1"/>
          <w:numId w:val="14"/>
        </w:numPr>
        <w:spacing w:line="360" w:lineRule="auto"/>
        <w:jc w:val="both"/>
      </w:pPr>
      <w:r>
        <w:t xml:space="preserve">doctoral </w:t>
      </w:r>
      <w:r w:rsidR="00AC76DD">
        <w:t>students’</w:t>
      </w:r>
      <w:r>
        <w:t xml:space="preserve"> </w:t>
      </w:r>
      <w:r w:rsidR="003F35EB">
        <w:t>information</w:t>
      </w:r>
      <w:r>
        <w:t>, staff at universities and college,</w:t>
      </w:r>
      <w:r w:rsidR="00547407">
        <w:t xml:space="preserve"> university</w:t>
      </w:r>
      <w:r>
        <w:t xml:space="preserve"> student</w:t>
      </w:r>
      <w:r w:rsidR="00547407">
        <w:t>s’</w:t>
      </w:r>
      <w:r>
        <w:t xml:space="preserve"> grades</w:t>
      </w:r>
      <w:r w:rsidR="003F35EB">
        <w:t xml:space="preserve"> and other information, applicants and admitted to </w:t>
      </w:r>
      <w:r w:rsidR="007C77D9">
        <w:t>university.</w:t>
      </w:r>
    </w:p>
    <w:p w14:paraId="348C4CF7" w14:textId="4DCDE007" w:rsidR="003F35EB" w:rsidRDefault="003F35EB" w:rsidP="00555C79">
      <w:pPr>
        <w:pStyle w:val="ListParagraph"/>
        <w:numPr>
          <w:ilvl w:val="1"/>
          <w:numId w:val="14"/>
        </w:numPr>
        <w:spacing w:line="360" w:lineRule="auto"/>
        <w:jc w:val="both"/>
      </w:pPr>
      <w:r>
        <w:t>vocational school’s register for applicants, students and graduates</w:t>
      </w:r>
    </w:p>
    <w:p w14:paraId="089AF31D" w14:textId="336241C4" w:rsidR="008604AB" w:rsidRDefault="008604AB" w:rsidP="002A00E2">
      <w:pPr>
        <w:spacing w:line="360" w:lineRule="auto"/>
        <w:jc w:val="both"/>
      </w:pPr>
      <w:r>
        <w:t xml:space="preserve">The databases are generally available since the beginning of the 1990s at the yearly level. </w:t>
      </w:r>
      <w:r w:rsidR="00A06360">
        <w:t xml:space="preserve">Researchers can also access </w:t>
      </w:r>
      <w:r w:rsidR="00AC76DD">
        <w:t>c</w:t>
      </w:r>
      <w:r>
        <w:t>ensus registers</w:t>
      </w:r>
      <w:r w:rsidR="00AC76DD">
        <w:t xml:space="preserve">, which were </w:t>
      </w:r>
      <w:r>
        <w:t xml:space="preserve">collected every five years between 1960 and 1990 (when the yearly population registers start being available). </w:t>
      </w:r>
    </w:p>
    <w:p w14:paraId="2A15499C" w14:textId="46BA642E" w:rsidR="005A4211" w:rsidRDefault="00AA0F70" w:rsidP="008953AB">
      <w:pPr>
        <w:spacing w:line="360" w:lineRule="auto"/>
        <w:jc w:val="both"/>
      </w:pPr>
      <w:r>
        <w:rPr>
          <w:i/>
          <w:iCs/>
        </w:rPr>
        <w:t>Tailored</w:t>
      </w:r>
      <w:r w:rsidR="00EE49CA">
        <w:t xml:space="preserve"> </w:t>
      </w:r>
      <w:r w:rsidR="00EE49CA" w:rsidRPr="00AA0F70">
        <w:rPr>
          <w:i/>
          <w:iCs/>
        </w:rPr>
        <w:t>data</w:t>
      </w:r>
      <w:r w:rsidR="00EE49CA">
        <w:t xml:space="preserve"> </w:t>
      </w:r>
      <w:r>
        <w:t xml:space="preserve">consists of data </w:t>
      </w:r>
      <w:r w:rsidR="00EE49CA">
        <w:t>produced by S</w:t>
      </w:r>
      <w:r>
        <w:t>CB</w:t>
      </w:r>
      <w:r w:rsidR="00EE49CA">
        <w:t>’s statisticians based on researchers’ needs</w:t>
      </w:r>
      <w:r>
        <w:t xml:space="preserve">. </w:t>
      </w:r>
      <w:r w:rsidR="00807C09">
        <w:t xml:space="preserve">Upon </w:t>
      </w:r>
      <w:r w:rsidR="00920727">
        <w:t>paying a processing fee</w:t>
      </w:r>
      <w:r w:rsidR="00807C09">
        <w:t>, it is possible to request</w:t>
      </w:r>
      <w:r w:rsidR="007C4AFA">
        <w:t xml:space="preserve"> </w:t>
      </w:r>
      <w:r w:rsidR="00807C09">
        <w:t>data produced in a specific format or for certain groups of units. This information can be linked to existing ready-made registers</w:t>
      </w:r>
      <w:r>
        <w:t xml:space="preserve"> and accessed from SCB’s servers</w:t>
      </w:r>
      <w:r w:rsidR="004A037D">
        <w:t>.</w:t>
      </w:r>
      <w:r w:rsidR="00FD15D7">
        <w:t xml:space="preserve"> Moreover, it is possible to </w:t>
      </w:r>
      <w:r w:rsidR="00FD15D7" w:rsidRPr="00FD15D7">
        <w:t xml:space="preserve">submit a </w:t>
      </w:r>
      <w:r w:rsidR="00FF3584">
        <w:t>pre-defined list of individuals</w:t>
      </w:r>
      <w:r w:rsidR="00FD15D7" w:rsidRPr="00FD15D7">
        <w:t xml:space="preserve"> to which </w:t>
      </w:r>
      <w:r w:rsidR="00FD15D7">
        <w:t>SCB</w:t>
      </w:r>
      <w:r w:rsidR="00FD15D7" w:rsidRPr="00FD15D7">
        <w:t xml:space="preserve"> then links register data</w:t>
      </w:r>
      <w:r w:rsidR="00FD15D7">
        <w:t xml:space="preserve">. SCB can also draw a control population to match to </w:t>
      </w:r>
      <w:r w:rsidR="006F5D5A">
        <w:t>a</w:t>
      </w:r>
      <w:r w:rsidR="00FD15D7">
        <w:t xml:space="preserve"> case population defined by the user. </w:t>
      </w:r>
    </w:p>
    <w:p w14:paraId="359A2219" w14:textId="09B13E44" w:rsidR="00A55808" w:rsidRDefault="00A55808" w:rsidP="00A55808">
      <w:pPr>
        <w:spacing w:line="360" w:lineRule="auto"/>
        <w:jc w:val="both"/>
      </w:pPr>
      <w:r w:rsidRPr="00BF32D4">
        <w:rPr>
          <w:i/>
          <w:iCs/>
        </w:rPr>
        <w:t>External data</w:t>
      </w:r>
      <w:r>
        <w:t xml:space="preserve"> are data sources that </w:t>
      </w:r>
      <w:r w:rsidR="00E13019">
        <w:t>are</w:t>
      </w:r>
      <w:r>
        <w:t xml:space="preserve"> linked to SCB’s registers. If an external organization needs to deliver data for an SCB project, the user is responsible fo</w:t>
      </w:r>
      <w:r w:rsidR="009E70BB">
        <w:t>r</w:t>
      </w:r>
      <w:r>
        <w:t xml:space="preserve"> placing separate orders for the data and</w:t>
      </w:r>
      <w:r w:rsidR="009E70BB">
        <w:t xml:space="preserve"> for</w:t>
      </w:r>
      <w:r>
        <w:t xml:space="preserve"> managing the contact and convey the necessary information between SCB and the </w:t>
      </w:r>
      <w:r w:rsidR="00E13019">
        <w:t xml:space="preserve">external </w:t>
      </w:r>
      <w:r w:rsidR="00084823">
        <w:t>data</w:t>
      </w:r>
      <w:r>
        <w:t xml:space="preserve"> holder.</w:t>
      </w:r>
    </w:p>
    <w:p w14:paraId="6FEAD738" w14:textId="0C0EF548" w:rsidR="00762380" w:rsidRDefault="009E70BB" w:rsidP="00A709C2">
      <w:pPr>
        <w:spacing w:line="360" w:lineRule="auto"/>
        <w:jc w:val="both"/>
      </w:pPr>
      <w:r>
        <w:t xml:space="preserve">For SCB </w:t>
      </w:r>
      <w:r w:rsidR="00A55808">
        <w:t xml:space="preserve">to be able to </w:t>
      </w:r>
      <w:r>
        <w:t xml:space="preserve">provide access to </w:t>
      </w:r>
      <w:r w:rsidR="00A55808">
        <w:t>register data with data from other register holders, the</w:t>
      </w:r>
      <w:r>
        <w:t xml:space="preserve"> two sources must </w:t>
      </w:r>
      <w:r w:rsidR="00A55808">
        <w:t>be connected</w:t>
      </w:r>
      <w:r>
        <w:t>. This</w:t>
      </w:r>
      <w:r w:rsidR="00A55808">
        <w:t xml:space="preserve"> can be done in two ways:</w:t>
      </w:r>
      <w:r>
        <w:t xml:space="preserve"> </w:t>
      </w:r>
      <w:r w:rsidR="00E13019">
        <w:t>i</w:t>
      </w:r>
      <w:r>
        <w:t>) t</w:t>
      </w:r>
      <w:r w:rsidR="00A55808">
        <w:t xml:space="preserve">he </w:t>
      </w:r>
      <w:r w:rsidR="00E13019">
        <w:t>external data</w:t>
      </w:r>
      <w:r w:rsidR="00A55808">
        <w:t xml:space="preserve"> holder delivers data to </w:t>
      </w:r>
      <w:r>
        <w:t>SCB</w:t>
      </w:r>
      <w:r w:rsidR="00A55808">
        <w:t xml:space="preserve">, </w:t>
      </w:r>
      <w:r w:rsidR="00E13019">
        <w:t>that</w:t>
      </w:r>
      <w:r w:rsidR="00A55808">
        <w:t xml:space="preserve"> replaces the identity with a serial number</w:t>
      </w:r>
      <w:r>
        <w:t xml:space="preserve">; </w:t>
      </w:r>
      <w:r w:rsidR="00E13019">
        <w:t>ii</w:t>
      </w:r>
      <w:r>
        <w:t>) SCB</w:t>
      </w:r>
      <w:r w:rsidR="00A55808">
        <w:t xml:space="preserve"> sends a code key (a link between identity and serial number) to the record holder. </w:t>
      </w:r>
      <w:r>
        <w:t>SCB</w:t>
      </w:r>
      <w:r w:rsidR="00A55808">
        <w:t xml:space="preserve"> can only do this if the record holder is subject to statistical confidentiality. </w:t>
      </w:r>
      <w:r>
        <w:t xml:space="preserve">The secure submission of data occurs via an </w:t>
      </w:r>
      <w:r w:rsidR="00A55808">
        <w:t>SFTP account</w:t>
      </w:r>
      <w:r>
        <w:t>, which is set up by SCB</w:t>
      </w:r>
      <w:r w:rsidR="00A55808">
        <w:t>.</w:t>
      </w:r>
      <w:r w:rsidR="00A709C2">
        <w:t xml:space="preserve"> In both cases, the researcher and the organization providing external data sources need to have a formal legal agreement on the data usage.</w:t>
      </w:r>
      <w:r w:rsidR="000C5C3B">
        <w:t xml:space="preserve"> This step can be extremely time consuming, depending on the data source, especially so if a ethical approval for the use of the data is required</w:t>
      </w:r>
      <w:r w:rsidR="0040316A">
        <w:t xml:space="preserve"> (see next section)</w:t>
      </w:r>
      <w:r w:rsidR="000C5C3B">
        <w:t>.</w:t>
      </w:r>
    </w:p>
    <w:p w14:paraId="16F7B5A3" w14:textId="0DAC6DA4" w:rsidR="00765475" w:rsidRPr="00765475" w:rsidRDefault="00762380" w:rsidP="00762380">
      <w:pPr>
        <w:pStyle w:val="Heading2"/>
        <w:numPr>
          <w:ilvl w:val="0"/>
          <w:numId w:val="2"/>
        </w:numPr>
        <w:spacing w:after="240"/>
      </w:pPr>
      <w:r>
        <w:lastRenderedPageBreak/>
        <w:t>Application process for data access</w:t>
      </w:r>
      <w:r w:rsidR="009B6511">
        <w:t xml:space="preserve"> </w:t>
      </w:r>
    </w:p>
    <w:p w14:paraId="1BBD83A2" w14:textId="148F8D76" w:rsidR="009A7538" w:rsidRPr="009A7538" w:rsidRDefault="009A7538" w:rsidP="009A7538">
      <w:pPr>
        <w:pStyle w:val="Heading3"/>
      </w:pPr>
      <w:r>
        <w:t>3.1 Overview of the application system</w:t>
      </w:r>
      <w:r w:rsidR="009E7280">
        <w:t xml:space="preserve"> at SCB</w:t>
      </w:r>
    </w:p>
    <w:p w14:paraId="37CDCE94" w14:textId="4787E759" w:rsidR="00FD15D7" w:rsidRDefault="00A15FE7" w:rsidP="0023619D">
      <w:pPr>
        <w:spacing w:line="360" w:lineRule="auto"/>
        <w:jc w:val="both"/>
      </w:pPr>
      <w:r>
        <w:t xml:space="preserve">To access </w:t>
      </w:r>
      <w:r w:rsidR="0023619D">
        <w:t xml:space="preserve">SCB’s </w:t>
      </w:r>
      <w:r>
        <w:t>microdata</w:t>
      </w:r>
      <w:r w:rsidR="00914796">
        <w:t>, t</w:t>
      </w:r>
      <w:r w:rsidR="00765475">
        <w:t xml:space="preserve">he applicant needs to </w:t>
      </w:r>
      <w:r w:rsidR="00A06360">
        <w:t xml:space="preserve">electronically </w:t>
      </w:r>
      <w:r w:rsidR="00765475">
        <w:t xml:space="preserve">submit a research plan </w:t>
      </w:r>
      <w:r w:rsidR="0023619D">
        <w:t>that clarifies why the data requested is necessary for the purpose of answering the research questions of interest. This concerns both the variable groups required and the use of population-wide registers.</w:t>
      </w:r>
      <w:r w:rsidR="00765475">
        <w:t xml:space="preserve"> </w:t>
      </w:r>
      <w:r w:rsidR="005F0090">
        <w:t>T</w:t>
      </w:r>
      <w:r w:rsidR="005F0090" w:rsidRPr="005F0090">
        <w:t xml:space="preserve">he data must be appropriate, relevant and not too extensive for the purpose. </w:t>
      </w:r>
      <w:r w:rsidR="00680C47">
        <w:t>The legal assessment of whether a user license can be issued for the specific application is not based on the</w:t>
      </w:r>
      <w:r w:rsidR="00557AFF">
        <w:t xml:space="preserve"> justification of the </w:t>
      </w:r>
      <w:r w:rsidR="00680C47">
        <w:t xml:space="preserve">scientific </w:t>
      </w:r>
      <w:r w:rsidR="00557AFF">
        <w:t>novelty</w:t>
      </w:r>
      <w:r w:rsidR="00680C47">
        <w:t xml:space="preserve"> of the research question </w:t>
      </w:r>
      <w:r w:rsidR="00557AFF">
        <w:t xml:space="preserve">in itself, </w:t>
      </w:r>
      <w:r w:rsidR="00680C47">
        <w:t xml:space="preserve">but rather on the </w:t>
      </w:r>
      <w:r w:rsidR="00E13019">
        <w:t xml:space="preserve">data protection </w:t>
      </w:r>
      <w:r w:rsidR="00680C47">
        <w:t xml:space="preserve">legislation in place. </w:t>
      </w:r>
    </w:p>
    <w:p w14:paraId="4F2A0C4E" w14:textId="06920E18" w:rsidR="0023619D" w:rsidRDefault="00FD15D7" w:rsidP="0023619D">
      <w:pPr>
        <w:spacing w:line="360" w:lineRule="auto"/>
        <w:jc w:val="both"/>
      </w:pPr>
      <w:r w:rsidRPr="00FD15D7">
        <w:t>Statistics Sweden</w:t>
      </w:r>
      <w:r>
        <w:t>’</w:t>
      </w:r>
      <w:r w:rsidRPr="00FD15D7">
        <w:t>s register</w:t>
      </w:r>
      <w:r>
        <w:t>s</w:t>
      </w:r>
      <w:r w:rsidRPr="00FD15D7">
        <w:t xml:space="preserve"> contain, among other things, information about political opinions, information that can be linked to membership in a trade union, income information linked to health, and information that can indicate a functional impairment.</w:t>
      </w:r>
      <w:r>
        <w:t xml:space="preserve"> </w:t>
      </w:r>
      <w:r w:rsidR="0023619D">
        <w:t xml:space="preserve">If the application </w:t>
      </w:r>
      <w:r w:rsidR="0023619D" w:rsidRPr="0023619D">
        <w:t>include</w:t>
      </w:r>
      <w:r w:rsidR="0023619D">
        <w:t>s</w:t>
      </w:r>
      <w:r w:rsidR="0023619D" w:rsidRPr="0023619D">
        <w:t xml:space="preserve"> </w:t>
      </w:r>
      <w:r>
        <w:t xml:space="preserve">these or other personal data considered sensitive </w:t>
      </w:r>
      <w:r w:rsidR="0023619D" w:rsidRPr="0023619D">
        <w:t xml:space="preserve">according to the GDPR, </w:t>
      </w:r>
      <w:r w:rsidR="0023619D">
        <w:t xml:space="preserve">the applicant must </w:t>
      </w:r>
      <w:r w:rsidR="00E13019">
        <w:t>have a project approval</w:t>
      </w:r>
      <w:r w:rsidR="0023619D" w:rsidRPr="0023619D">
        <w:t xml:space="preserve"> from the Ethics Review Authority for sensitive personal data to be processed.</w:t>
      </w:r>
      <w:r>
        <w:rPr>
          <w:rStyle w:val="FootnoteReference"/>
        </w:rPr>
        <w:footnoteReference w:id="4"/>
      </w:r>
      <w:r w:rsidR="0023619D" w:rsidRPr="0023619D">
        <w:t xml:space="preserve"> </w:t>
      </w:r>
      <w:r w:rsidR="00A15FE7">
        <w:t xml:space="preserve"> </w:t>
      </w:r>
    </w:p>
    <w:p w14:paraId="41E9ED7B" w14:textId="11A9B4A4" w:rsidR="00262554" w:rsidRDefault="00680C47" w:rsidP="003A1548">
      <w:pPr>
        <w:spacing w:line="360" w:lineRule="auto"/>
        <w:jc w:val="both"/>
      </w:pPr>
      <w:r>
        <w:t xml:space="preserve">Applications are processed on a first come, first served basis. </w:t>
      </w:r>
      <w:r w:rsidR="003A1548">
        <w:t>When SCB receives an application, the user receives an estimate of the current queue time and will be assigned a case manager as soon as possible. It normally takes 1-6 months from the time a person is assigned to a case manager to the time when data can be accessed.</w:t>
      </w:r>
      <w:r w:rsidR="005011FF">
        <w:rPr>
          <w:rStyle w:val="FootnoteReference"/>
        </w:rPr>
        <w:footnoteReference w:id="5"/>
      </w:r>
      <w:r w:rsidR="003A1548">
        <w:t xml:space="preserve"> Information about the approximate waiting time </w:t>
      </w:r>
      <w:r w:rsidR="00FC6144">
        <w:t>c</w:t>
      </w:r>
      <w:r w:rsidR="002A4F62">
        <w:t xml:space="preserve">an be found </w:t>
      </w:r>
      <w:r w:rsidR="003A1548">
        <w:t xml:space="preserve">on SCB’s website. </w:t>
      </w:r>
      <w:r w:rsidR="00300DD7">
        <w:t>I</w:t>
      </w:r>
      <w:r w:rsidR="00A06360">
        <w:t>f</w:t>
      </w:r>
      <w:r w:rsidR="00300DD7">
        <w:t xml:space="preserve"> case sensitive data needs to be processed, the user does not </w:t>
      </w:r>
      <w:r w:rsidR="00300DD7" w:rsidRPr="00300DD7">
        <w:t xml:space="preserve">need to have approval from the Ethics Review Authority to place </w:t>
      </w:r>
      <w:r w:rsidR="00300DD7">
        <w:t xml:space="preserve">an </w:t>
      </w:r>
      <w:r w:rsidR="00300DD7" w:rsidRPr="00300DD7">
        <w:t xml:space="preserve">order and join the queue, but </w:t>
      </w:r>
      <w:r w:rsidR="00495E61">
        <w:t>the ethical approval needs to be s</w:t>
      </w:r>
      <w:r w:rsidR="00300DD7" w:rsidRPr="00300DD7">
        <w:t xml:space="preserve">ubmitted. </w:t>
      </w:r>
      <w:r w:rsidR="00E13019">
        <w:t>However, t</w:t>
      </w:r>
      <w:r w:rsidR="00300DD7" w:rsidRPr="00300DD7">
        <w:t xml:space="preserve">he </w:t>
      </w:r>
      <w:r w:rsidR="00495E61">
        <w:t xml:space="preserve">application </w:t>
      </w:r>
      <w:r w:rsidR="00E13019">
        <w:t xml:space="preserve">can </w:t>
      </w:r>
      <w:r w:rsidR="00300DD7" w:rsidRPr="00300DD7">
        <w:t xml:space="preserve">be </w:t>
      </w:r>
      <w:r w:rsidR="00841E9B">
        <w:t>assigned</w:t>
      </w:r>
      <w:r w:rsidR="00300DD7" w:rsidRPr="00300DD7">
        <w:t xml:space="preserve"> to an administrator at </w:t>
      </w:r>
      <w:r w:rsidR="00841E9B">
        <w:t>SCB</w:t>
      </w:r>
      <w:r w:rsidR="00300DD7" w:rsidRPr="00300DD7">
        <w:t xml:space="preserve"> </w:t>
      </w:r>
      <w:r w:rsidR="00E13019">
        <w:t>only when</w:t>
      </w:r>
      <w:r w:rsidR="00300DD7" w:rsidRPr="00300DD7">
        <w:t xml:space="preserve"> </w:t>
      </w:r>
      <w:r w:rsidR="00841E9B">
        <w:t>t</w:t>
      </w:r>
      <w:r w:rsidR="00300DD7" w:rsidRPr="00300DD7">
        <w:t>he Ethics Review Authority</w:t>
      </w:r>
      <w:r w:rsidR="00841E9B">
        <w:t xml:space="preserve"> </w:t>
      </w:r>
      <w:r w:rsidR="00E13019">
        <w:t xml:space="preserve">decision </w:t>
      </w:r>
      <w:r w:rsidR="00841E9B">
        <w:t>is available</w:t>
      </w:r>
      <w:r w:rsidR="00300DD7" w:rsidRPr="00300DD7">
        <w:t>.</w:t>
      </w:r>
    </w:p>
    <w:p w14:paraId="4365B217" w14:textId="6D5EF28C" w:rsidR="00262554" w:rsidRDefault="006F0499" w:rsidP="003A1548">
      <w:pPr>
        <w:spacing w:line="360" w:lineRule="auto"/>
        <w:jc w:val="both"/>
      </w:pPr>
      <w:r>
        <w:t>Several</w:t>
      </w:r>
      <w:r w:rsidR="003A1548">
        <w:t xml:space="preserve"> factors affect the price and how long it takes to process a</w:t>
      </w:r>
      <w:r w:rsidR="00262554">
        <w:t>n application. In particular</w:t>
      </w:r>
      <w:r w:rsidR="003A1548">
        <w:t>:</w:t>
      </w:r>
    </w:p>
    <w:p w14:paraId="19747CB8" w14:textId="629CD51D" w:rsidR="003A1548" w:rsidRDefault="003A1548" w:rsidP="00262554">
      <w:pPr>
        <w:pStyle w:val="ListParagraph"/>
        <w:numPr>
          <w:ilvl w:val="0"/>
          <w:numId w:val="15"/>
        </w:numPr>
        <w:spacing w:line="360" w:lineRule="auto"/>
        <w:jc w:val="both"/>
      </w:pPr>
      <w:r>
        <w:t xml:space="preserve">How clearly the </w:t>
      </w:r>
      <w:r w:rsidR="00262554">
        <w:t>application</w:t>
      </w:r>
      <w:r>
        <w:t xml:space="preserve"> describes the population and requested register data</w:t>
      </w:r>
      <w:r w:rsidR="00262554">
        <w:t>, and</w:t>
      </w:r>
      <w:r>
        <w:t xml:space="preserve"> whether there is support for processing the</w:t>
      </w:r>
      <w:r w:rsidR="00262554">
        <w:t>m.</w:t>
      </w:r>
    </w:p>
    <w:p w14:paraId="7B55EA08" w14:textId="4DEAEB87" w:rsidR="00262554" w:rsidRDefault="003A1548" w:rsidP="003A1548">
      <w:pPr>
        <w:pStyle w:val="ListParagraph"/>
        <w:numPr>
          <w:ilvl w:val="0"/>
          <w:numId w:val="15"/>
        </w:numPr>
        <w:spacing w:line="360" w:lineRule="auto"/>
        <w:jc w:val="both"/>
      </w:pPr>
      <w:r>
        <w:t>How quickly the person ordering answers the administrator</w:t>
      </w:r>
      <w:r w:rsidR="005846EE">
        <w:t>’</w:t>
      </w:r>
      <w:r>
        <w:t>s questions about the order</w:t>
      </w:r>
      <w:r w:rsidR="00262554">
        <w:t>.</w:t>
      </w:r>
    </w:p>
    <w:p w14:paraId="1EC029E4" w14:textId="77777777" w:rsidR="00262554" w:rsidRDefault="003A1548" w:rsidP="003A1548">
      <w:pPr>
        <w:pStyle w:val="ListParagraph"/>
        <w:numPr>
          <w:ilvl w:val="0"/>
          <w:numId w:val="15"/>
        </w:numPr>
        <w:spacing w:line="360" w:lineRule="auto"/>
        <w:jc w:val="both"/>
      </w:pPr>
      <w:r>
        <w:t>The complexity of the population</w:t>
      </w:r>
      <w:r w:rsidR="00262554">
        <w:t xml:space="preserve"> or sample to build.</w:t>
      </w:r>
    </w:p>
    <w:p w14:paraId="54E907B1" w14:textId="77777777" w:rsidR="00262554" w:rsidRDefault="00262554" w:rsidP="003A1548">
      <w:pPr>
        <w:pStyle w:val="ListParagraph"/>
        <w:numPr>
          <w:ilvl w:val="0"/>
          <w:numId w:val="15"/>
        </w:numPr>
        <w:spacing w:line="360" w:lineRule="auto"/>
        <w:jc w:val="both"/>
      </w:pPr>
      <w:r>
        <w:t>The n</w:t>
      </w:r>
      <w:r w:rsidR="003A1548">
        <w:t>umber of records requested</w:t>
      </w:r>
      <w:r>
        <w:t>.</w:t>
      </w:r>
    </w:p>
    <w:p w14:paraId="241FA32E" w14:textId="77777777" w:rsidR="00262554" w:rsidRDefault="003A1548" w:rsidP="003A1548">
      <w:pPr>
        <w:pStyle w:val="ListParagraph"/>
        <w:numPr>
          <w:ilvl w:val="0"/>
          <w:numId w:val="15"/>
        </w:numPr>
        <w:spacing w:line="360" w:lineRule="auto"/>
        <w:jc w:val="both"/>
      </w:pPr>
      <w:r>
        <w:t xml:space="preserve">How many different identities need to be replaced with </w:t>
      </w:r>
      <w:r w:rsidR="00262554">
        <w:t>pseudoidentifiers.</w:t>
      </w:r>
    </w:p>
    <w:p w14:paraId="777A47A0" w14:textId="291AC661" w:rsidR="00A44D8C" w:rsidRDefault="00262554" w:rsidP="00ED0EA0">
      <w:pPr>
        <w:pStyle w:val="ListParagraph"/>
        <w:numPr>
          <w:ilvl w:val="0"/>
          <w:numId w:val="15"/>
        </w:numPr>
        <w:spacing w:line="360" w:lineRule="auto"/>
        <w:jc w:val="both"/>
      </w:pPr>
      <w:r>
        <w:lastRenderedPageBreak/>
        <w:t xml:space="preserve">Whether the user requires external data to be linked to SCB registers and </w:t>
      </w:r>
      <w:r w:rsidR="00A44D8C">
        <w:t>the size and complexity of the external registers.</w:t>
      </w:r>
    </w:p>
    <w:p w14:paraId="326FF59E" w14:textId="150E7EA0" w:rsidR="003A1548" w:rsidRDefault="00A44D8C" w:rsidP="00ED0EA0">
      <w:pPr>
        <w:pStyle w:val="ListParagraph"/>
        <w:numPr>
          <w:ilvl w:val="0"/>
          <w:numId w:val="15"/>
        </w:numPr>
        <w:spacing w:line="360" w:lineRule="auto"/>
        <w:jc w:val="both"/>
      </w:pPr>
      <w:r>
        <w:t>Whether</w:t>
      </w:r>
      <w:r w:rsidR="003A1548">
        <w:t xml:space="preserve"> </w:t>
      </w:r>
      <w:r>
        <w:t>SCB</w:t>
      </w:r>
      <w:r w:rsidR="003A1548">
        <w:t xml:space="preserve"> is dependent on other register holders to move forward (for </w:t>
      </w:r>
      <w:r>
        <w:t>instance</w:t>
      </w:r>
      <w:r w:rsidR="003A1548">
        <w:t xml:space="preserve">, </w:t>
      </w:r>
      <w:r>
        <w:t xml:space="preserve">when the external data holder needs to create the </w:t>
      </w:r>
      <w:r w:rsidR="000F4D79">
        <w:t>target group</w:t>
      </w:r>
      <w:r>
        <w:t xml:space="preserve"> of interest</w:t>
      </w:r>
      <w:r w:rsidR="003A1548">
        <w:t xml:space="preserve">). </w:t>
      </w:r>
    </w:p>
    <w:p w14:paraId="25578DDC" w14:textId="61423406" w:rsidR="00A74C0D" w:rsidRDefault="00A74C0D" w:rsidP="00A74C0D">
      <w:pPr>
        <w:spacing w:line="360" w:lineRule="auto"/>
        <w:jc w:val="both"/>
      </w:pPr>
      <w:r>
        <w:t>A</w:t>
      </w:r>
      <w:r w:rsidR="003A1548">
        <w:t xml:space="preserve">fter </w:t>
      </w:r>
      <w:r>
        <w:t xml:space="preserve">having approved the </w:t>
      </w:r>
      <w:r w:rsidR="003A1548">
        <w:t>confidentiality review</w:t>
      </w:r>
      <w:r>
        <w:t>, the user r</w:t>
      </w:r>
      <w:r w:rsidR="003A1548">
        <w:t>eceive</w:t>
      </w:r>
      <w:r>
        <w:t>s</w:t>
      </w:r>
      <w:r w:rsidR="003A1548">
        <w:t xml:space="preserve"> a fixed price quote</w:t>
      </w:r>
      <w:r w:rsidR="00E614D0">
        <w:t xml:space="preserve"> and SCB’s commitment in terms of time of delivery</w:t>
      </w:r>
      <w:r w:rsidR="003A1548">
        <w:t xml:space="preserve">. </w:t>
      </w:r>
      <w:r>
        <w:t>As of 2024, SCB reports that m</w:t>
      </w:r>
      <w:r w:rsidR="003A1548">
        <w:t xml:space="preserve">ost of the </w:t>
      </w:r>
      <w:r>
        <w:t xml:space="preserve">applications </w:t>
      </w:r>
      <w:r w:rsidR="003A1548">
        <w:t xml:space="preserve">fall within the cost range of 35,000 to 65,000 </w:t>
      </w:r>
      <w:r w:rsidR="00914796">
        <w:t xml:space="preserve">SEK </w:t>
      </w:r>
      <w:r w:rsidR="003A1548">
        <w:t>excluding VAT</w:t>
      </w:r>
      <w:r>
        <w:t xml:space="preserve"> (2000-5500 EUR)</w:t>
      </w:r>
      <w:r w:rsidR="003A1548">
        <w:t>.</w:t>
      </w:r>
      <w:r>
        <w:t xml:space="preserve"> In general, the size of the population and the number of requested register data affect the price marginally </w:t>
      </w:r>
      <w:r w:rsidR="00E614D0">
        <w:t>if</w:t>
      </w:r>
      <w:r>
        <w:t xml:space="preserve"> the data can be retrieved from only one register.</w:t>
      </w:r>
      <w:r w:rsidR="00E614D0">
        <w:t xml:space="preserve"> There are different ways to access data, </w:t>
      </w:r>
      <w:r w:rsidR="00B73483">
        <w:t>the primary way is</w:t>
      </w:r>
      <w:r w:rsidR="00E614D0">
        <w:t xml:space="preserve"> remotely via the MONA secure connection system.</w:t>
      </w:r>
    </w:p>
    <w:p w14:paraId="14F52446" w14:textId="1BC6CE84" w:rsidR="006C1B01" w:rsidRDefault="006C1B01" w:rsidP="006C1B01">
      <w:pPr>
        <w:pStyle w:val="Heading3"/>
      </w:pPr>
      <w:r w:rsidRPr="009A7538">
        <w:t>3.</w:t>
      </w:r>
      <w:r>
        <w:t>2</w:t>
      </w:r>
      <w:r w:rsidRPr="009A7538">
        <w:t xml:space="preserve"> </w:t>
      </w:r>
      <w:r w:rsidR="004F20EA">
        <w:t xml:space="preserve">Conditions to access </w:t>
      </w:r>
      <w:r w:rsidR="00A95564">
        <w:t>Statistics Sweden’s</w:t>
      </w:r>
      <w:r w:rsidR="00BF3BC2">
        <w:t xml:space="preserve"> microdata</w:t>
      </w:r>
    </w:p>
    <w:p w14:paraId="63F5091C" w14:textId="4D345FAC" w:rsidR="00A625B2" w:rsidRDefault="00A625B2" w:rsidP="00A625B2">
      <w:r>
        <w:t xml:space="preserve">There are two groups of authorized entities that can </w:t>
      </w:r>
      <w:r w:rsidR="00610FCB">
        <w:t>purchase microdata</w:t>
      </w:r>
      <w:r>
        <w:t xml:space="preserve"> at SCB:</w:t>
      </w:r>
    </w:p>
    <w:p w14:paraId="4A6B6325" w14:textId="7DCDFA17" w:rsidR="00A625B2" w:rsidRDefault="00A625B2" w:rsidP="00A625B2">
      <w:pPr>
        <w:pStyle w:val="ListParagraph"/>
        <w:numPr>
          <w:ilvl w:val="0"/>
          <w:numId w:val="16"/>
        </w:numPr>
        <w:spacing w:line="360" w:lineRule="auto"/>
      </w:pPr>
      <w:r>
        <w:t xml:space="preserve">Swedish universities, colleges, authorities, </w:t>
      </w:r>
      <w:r w:rsidR="00CF7758">
        <w:t>regions,</w:t>
      </w:r>
      <w:r>
        <w:t xml:space="preserve"> and private organizations that request microdata for a specific delimited project with a research purpose.</w:t>
      </w:r>
    </w:p>
    <w:p w14:paraId="72A3B08E" w14:textId="79782C37" w:rsidR="002C4061" w:rsidRDefault="00A625B2" w:rsidP="002C4061">
      <w:pPr>
        <w:pStyle w:val="ListParagraph"/>
        <w:numPr>
          <w:ilvl w:val="0"/>
          <w:numId w:val="16"/>
        </w:numPr>
        <w:spacing w:line="360" w:lineRule="auto"/>
      </w:pPr>
      <w:r>
        <w:t>Authorities responsible for statistics and other public organizations that request microdata for limited projects for statistical analyzes and reports with a statistical purpose.</w:t>
      </w:r>
    </w:p>
    <w:p w14:paraId="15A367E4" w14:textId="4555CAD9" w:rsidR="003A1548" w:rsidRDefault="002C4061" w:rsidP="002C4061">
      <w:pPr>
        <w:spacing w:line="360" w:lineRule="auto"/>
        <w:jc w:val="both"/>
      </w:pPr>
      <w:r>
        <w:t xml:space="preserve">SCB does not release microdata with purposes other than carrying out research and statistical analysis. </w:t>
      </w:r>
      <w:r w:rsidR="00A625B2">
        <w:t>For example,</w:t>
      </w:r>
      <w:r>
        <w:t xml:space="preserve"> SCB does not </w:t>
      </w:r>
      <w:r w:rsidR="00A625B2">
        <w:t>disclose data to analyze a customer group for commercial purposes</w:t>
      </w:r>
      <w:r>
        <w:t xml:space="preserve"> or</w:t>
      </w:r>
      <w:r w:rsidR="00A625B2">
        <w:t xml:space="preserve"> to investigate or audit individuals or companies.</w:t>
      </w:r>
    </w:p>
    <w:p w14:paraId="1D178C9E" w14:textId="1344A4B1" w:rsidR="00C2220F" w:rsidRDefault="00C2220F" w:rsidP="002C4061">
      <w:pPr>
        <w:spacing w:line="360" w:lineRule="auto"/>
        <w:jc w:val="both"/>
      </w:pPr>
      <w:r>
        <w:t xml:space="preserve">In practice, it is a principal investigator </w:t>
      </w:r>
      <w:r w:rsidR="00CF04DB">
        <w:t xml:space="preserve">(PI) </w:t>
      </w:r>
      <w:r>
        <w:t xml:space="preserve">that sends the electronic application to SCB. However, </w:t>
      </w:r>
      <w:r w:rsidR="00001A46">
        <w:t>the data recipient</w:t>
      </w:r>
      <w:r>
        <w:t xml:space="preserve"> is always a</w:t>
      </w:r>
      <w:r w:rsidR="00001A46">
        <w:t xml:space="preserve"> Swedish</w:t>
      </w:r>
      <w:r>
        <w:t xml:space="preserve"> institution</w:t>
      </w:r>
      <w:r w:rsidR="00001A46">
        <w:t xml:space="preserve">, which </w:t>
      </w:r>
      <w:r w:rsidR="00A55CC2">
        <w:t>signs a personal</w:t>
      </w:r>
      <w:r>
        <w:t xml:space="preserve"> data </w:t>
      </w:r>
      <w:r w:rsidR="00A55CC2">
        <w:t>processing</w:t>
      </w:r>
      <w:r>
        <w:t xml:space="preserve"> agreement with SCB (data remotely accessed is considered transferred). </w:t>
      </w:r>
      <w:r w:rsidR="00CF04DB">
        <w:t xml:space="preserve">Whoever acts as a PI needs to have an affiliation or other type of agreement with a recognized Swedish institution. </w:t>
      </w:r>
    </w:p>
    <w:p w14:paraId="3A0F351C" w14:textId="388D1DB8" w:rsidR="00027A49" w:rsidRDefault="00CF04DB" w:rsidP="00027A49">
      <w:pPr>
        <w:spacing w:line="360" w:lineRule="auto"/>
        <w:jc w:val="both"/>
      </w:pPr>
      <w:r>
        <w:t xml:space="preserve">Researchers affiliated with a Swedish institution can access microdata </w:t>
      </w:r>
      <w:r w:rsidR="00683805">
        <w:t>via their affiliation. For researchers working in non-Swedish institutions,</w:t>
      </w:r>
      <w:r w:rsidR="00C2220F" w:rsidRPr="00C2220F">
        <w:t xml:space="preserve"> </w:t>
      </w:r>
      <w:r w:rsidR="00683805">
        <w:t xml:space="preserve">it is possible </w:t>
      </w:r>
      <w:r w:rsidR="00800451">
        <w:t xml:space="preserve">to access SCB’s data if the foreign-based researcher </w:t>
      </w:r>
      <w:r w:rsidR="00683805">
        <w:t>work</w:t>
      </w:r>
      <w:r w:rsidR="00800451">
        <w:t>s</w:t>
      </w:r>
      <w:r w:rsidR="00683805">
        <w:t xml:space="preserve"> in a research team where the PI </w:t>
      </w:r>
      <w:r w:rsidR="00C93783">
        <w:t>is employ</w:t>
      </w:r>
      <w:r w:rsidR="00A06360">
        <w:t>e</w:t>
      </w:r>
      <w:r w:rsidR="00C93783">
        <w:t xml:space="preserve">d or affiliated </w:t>
      </w:r>
      <w:r w:rsidR="00C2220F" w:rsidRPr="00C2220F">
        <w:t xml:space="preserve">with a Swedish university. </w:t>
      </w:r>
      <w:r w:rsidR="0056410D">
        <w:t>As mentioned, the d</w:t>
      </w:r>
      <w:r w:rsidR="00C2220F" w:rsidRPr="00C2220F">
        <w:t xml:space="preserve">ata </w:t>
      </w:r>
      <w:r w:rsidR="0056410D">
        <w:t>must</w:t>
      </w:r>
      <w:r w:rsidR="00C2220F" w:rsidRPr="00C2220F">
        <w:t xml:space="preserve"> be ordered and guaranteed by the Swedish </w:t>
      </w:r>
      <w:r w:rsidR="0056410D">
        <w:t>research institute</w:t>
      </w:r>
      <w:r w:rsidR="00C93783">
        <w:t>. B</w:t>
      </w:r>
      <w:r w:rsidR="0056410D">
        <w:t xml:space="preserve">efore the data is </w:t>
      </w:r>
      <w:r w:rsidR="00C2220F" w:rsidRPr="00C2220F">
        <w:t>made available</w:t>
      </w:r>
      <w:r w:rsidR="0056410D">
        <w:t>,</w:t>
      </w:r>
      <w:r w:rsidR="00C2220F" w:rsidRPr="00C2220F">
        <w:t xml:space="preserve"> the project </w:t>
      </w:r>
      <w:r w:rsidR="00800451">
        <w:t xml:space="preserve">must </w:t>
      </w:r>
      <w:r w:rsidR="00C2220F" w:rsidRPr="00C2220F">
        <w:t>get secrecy clearance</w:t>
      </w:r>
      <w:r w:rsidR="00571C3F">
        <w:t xml:space="preserve"> from SCB</w:t>
      </w:r>
      <w:r w:rsidR="00C2220F" w:rsidRPr="00C2220F">
        <w:t xml:space="preserve">. </w:t>
      </w:r>
      <w:r w:rsidR="00C93783">
        <w:t>Next, a</w:t>
      </w:r>
      <w:r w:rsidR="00800451">
        <w:t>fter SCB</w:t>
      </w:r>
      <w:r w:rsidR="00C2220F" w:rsidRPr="00C2220F">
        <w:t xml:space="preserve"> </w:t>
      </w:r>
      <w:r w:rsidR="00800451">
        <w:t xml:space="preserve">gives </w:t>
      </w:r>
      <w:r w:rsidR="00C2220F" w:rsidRPr="00C2220F">
        <w:t xml:space="preserve">the secrecy clearance to the Swedish university, the Swedish university </w:t>
      </w:r>
      <w:r w:rsidR="00800451">
        <w:t xml:space="preserve">must </w:t>
      </w:r>
      <w:r w:rsidR="00C2220F" w:rsidRPr="00C2220F">
        <w:t>give the secrecy clearance to the foreign organization</w:t>
      </w:r>
      <w:r w:rsidR="00800451">
        <w:t xml:space="preserve"> from which the researcher based in a non-Swedish institution works from</w:t>
      </w:r>
      <w:r w:rsidR="00C2220F" w:rsidRPr="00C2220F">
        <w:t xml:space="preserve">. It is up to the Swedish university to decide if an affiliation is necessary or if </w:t>
      </w:r>
      <w:r w:rsidR="00800451">
        <w:t xml:space="preserve">the </w:t>
      </w:r>
      <w:r w:rsidR="00C2220F" w:rsidRPr="00C2220F">
        <w:t>data can be released to the foreign university</w:t>
      </w:r>
      <w:r w:rsidR="00571C3F">
        <w:t xml:space="preserve"> without affiliation requirements</w:t>
      </w:r>
      <w:r w:rsidR="00C2220F" w:rsidRPr="00C2220F">
        <w:t>.</w:t>
      </w:r>
      <w:r w:rsidR="003D342F">
        <w:t xml:space="preserve"> </w:t>
      </w:r>
    </w:p>
    <w:p w14:paraId="0B6337FE" w14:textId="1C15043F" w:rsidR="00347D1C" w:rsidRDefault="00F23D8B" w:rsidP="009F4394">
      <w:pPr>
        <w:spacing w:line="360" w:lineRule="auto"/>
        <w:jc w:val="both"/>
      </w:pPr>
      <w:r>
        <w:t xml:space="preserve">The assessment of how much data is </w:t>
      </w:r>
      <w:r w:rsidR="00347D1C">
        <w:t>possible</w:t>
      </w:r>
      <w:r>
        <w:t xml:space="preserve"> to apply for </w:t>
      </w:r>
      <w:r w:rsidR="00347D1C">
        <w:t>with</w:t>
      </w:r>
      <w:r>
        <w:t xml:space="preserve"> a given user license is always made on a </w:t>
      </w:r>
      <w:r w:rsidR="009F4394">
        <w:t xml:space="preserve">case-by-case basis. What matters </w:t>
      </w:r>
      <w:r w:rsidR="008B3498">
        <w:t xml:space="preserve">for the final decision </w:t>
      </w:r>
      <w:r w:rsidR="00A06360">
        <w:t>are</w:t>
      </w:r>
      <w:r w:rsidR="009F4394">
        <w:t xml:space="preserve"> data protection considerations </w:t>
      </w:r>
      <w:r w:rsidR="00FE7FCB">
        <w:t xml:space="preserve">on </w:t>
      </w:r>
      <w:r w:rsidR="009F4394">
        <w:t xml:space="preserve">whether the final set </w:t>
      </w:r>
      <w:r w:rsidR="009F4394">
        <w:lastRenderedPageBreak/>
        <w:t xml:space="preserve">of data linked together is in line with </w:t>
      </w:r>
      <w:r w:rsidR="001E0BE4">
        <w:t xml:space="preserve">data protection laws </w:t>
      </w:r>
      <w:r w:rsidR="0051160E">
        <w:t>(</w:t>
      </w:r>
      <w:r w:rsidR="001E0BE4">
        <w:t xml:space="preserve">see </w:t>
      </w:r>
      <w:r w:rsidR="008B3498">
        <w:t>S</w:t>
      </w:r>
      <w:r w:rsidR="0051160E">
        <w:t>ection</w:t>
      </w:r>
      <w:r w:rsidR="008B3498">
        <w:t xml:space="preserve"> 4</w:t>
      </w:r>
      <w:r w:rsidR="0051160E">
        <w:t>)</w:t>
      </w:r>
      <w:r w:rsidR="008B3498">
        <w:t>, and not the data source used (ready-made, tailored, external)</w:t>
      </w:r>
      <w:r w:rsidR="009F4394">
        <w:t xml:space="preserve">. </w:t>
      </w:r>
      <w:r w:rsidR="008B3498">
        <w:t>Therefore</w:t>
      </w:r>
      <w:r w:rsidR="009F4394">
        <w:t xml:space="preserve">, </w:t>
      </w:r>
      <w:r w:rsidR="008B3498">
        <w:t xml:space="preserve">in principle </w:t>
      </w:r>
      <w:r w:rsidR="009F4394">
        <w:t xml:space="preserve">it is possible to link together </w:t>
      </w:r>
      <w:r w:rsidR="008B3498">
        <w:t>SCB</w:t>
      </w:r>
      <w:r w:rsidR="009F4394">
        <w:t xml:space="preserve">’s registers with external administrative </w:t>
      </w:r>
      <w:r w:rsidR="00CF7758">
        <w:t>data if</w:t>
      </w:r>
      <w:r w:rsidR="009F4394">
        <w:t xml:space="preserve"> the data </w:t>
      </w:r>
      <w:r w:rsidR="008D2967">
        <w:t>linkage</w:t>
      </w:r>
      <w:r w:rsidR="009F4394">
        <w:t xml:space="preserve"> is justified by the research question and in line with the </w:t>
      </w:r>
      <w:r w:rsidR="00C1180E">
        <w:t>law</w:t>
      </w:r>
      <w:r w:rsidR="009F4394">
        <w:t xml:space="preserve">. </w:t>
      </w:r>
    </w:p>
    <w:p w14:paraId="6C3FFF6A" w14:textId="6D08B0DE" w:rsidR="00F23D8B" w:rsidRDefault="00CC797B" w:rsidP="00CC797B">
      <w:pPr>
        <w:spacing w:line="360" w:lineRule="auto"/>
        <w:jc w:val="both"/>
      </w:pPr>
      <w:r>
        <w:t xml:space="preserve">From the perspective of linking external data sources to SCB’s registers, </w:t>
      </w:r>
      <w:r w:rsidR="00347D1C">
        <w:t>understandably,</w:t>
      </w:r>
      <w:r w:rsidR="009F4394">
        <w:t xml:space="preserve"> the institution</w:t>
      </w:r>
      <w:r w:rsidR="00347D1C">
        <w:t xml:space="preserve"> that </w:t>
      </w:r>
      <w:r>
        <w:t xml:space="preserve">provides the external data </w:t>
      </w:r>
      <w:r w:rsidR="00347D1C">
        <w:t xml:space="preserve">has always a certain degree of discretion in </w:t>
      </w:r>
      <w:r>
        <w:t>accepting delivering the data for research use</w:t>
      </w:r>
      <w:r w:rsidR="00B00F56">
        <w:t xml:space="preserve">. </w:t>
      </w:r>
      <w:r>
        <w:t>At the same time, in Sweden there is a long tradition of using administrative data to do policy evaluation and research in general. Therefore, in many cases it is possible to obtain very detailed external data sources</w:t>
      </w:r>
      <w:r w:rsidR="00623A75">
        <w:t>, and often</w:t>
      </w:r>
      <w:r>
        <w:t xml:space="preserve"> at no cost.  </w:t>
      </w:r>
    </w:p>
    <w:p w14:paraId="02ECF9BF" w14:textId="6DB57E23" w:rsidR="009E7280" w:rsidRDefault="009E7280" w:rsidP="009E7280">
      <w:pPr>
        <w:pStyle w:val="Heading3"/>
      </w:pPr>
      <w:r w:rsidRPr="009A7538">
        <w:t>3.</w:t>
      </w:r>
      <w:r>
        <w:t>3</w:t>
      </w:r>
      <w:r w:rsidRPr="009A7538">
        <w:t xml:space="preserve"> </w:t>
      </w:r>
      <w:r>
        <w:t>Alternative ways to access data.</w:t>
      </w:r>
    </w:p>
    <w:p w14:paraId="21A5D472" w14:textId="17F6782C" w:rsidR="00B54F58" w:rsidRDefault="009E7280" w:rsidP="009E7280">
      <w:pPr>
        <w:spacing w:line="360" w:lineRule="auto"/>
        <w:jc w:val="both"/>
      </w:pPr>
      <w:r>
        <w:t xml:space="preserve">Since SCB has data delivery agreements with institutions, in practice it is possible for </w:t>
      </w:r>
      <w:r w:rsidR="00D55CD4">
        <w:t xml:space="preserve">Swedish </w:t>
      </w:r>
      <w:r>
        <w:t>research centers to have projects that their affiliates can joi</w:t>
      </w:r>
      <w:r w:rsidR="00982C04">
        <w:t xml:space="preserve">n, with </w:t>
      </w:r>
      <w:r>
        <w:t xml:space="preserve">data </w:t>
      </w:r>
      <w:r w:rsidR="00982C04">
        <w:t xml:space="preserve">being </w:t>
      </w:r>
      <w:r>
        <w:t>shipped to the research center servers and accessed from there</w:t>
      </w:r>
      <w:r w:rsidR="00242D5C">
        <w:t xml:space="preserve"> (including remotely)</w:t>
      </w:r>
      <w:r>
        <w:t>.</w:t>
      </w:r>
      <w:r w:rsidR="00B54F58">
        <w:t xml:space="preserve"> I</w:t>
      </w:r>
      <w:r w:rsidR="00A06360">
        <w:t>n</w:t>
      </w:r>
      <w:r w:rsidR="00B54F58">
        <w:t xml:space="preserve"> these cases, all usual data protection and confidentiality rules must be met. However, from the perspective of a researcher, the time and costs to</w:t>
      </w:r>
      <w:r w:rsidR="00F66129">
        <w:t xml:space="preserve"> open/</w:t>
      </w:r>
      <w:r w:rsidR="00B54F58">
        <w:t xml:space="preserve">access the data might be considerably lower compared to </w:t>
      </w:r>
      <w:r w:rsidR="00F66129">
        <w:t>what is required in a standard SCB project.</w:t>
      </w:r>
    </w:p>
    <w:p w14:paraId="03584E03" w14:textId="2F1B5DD7" w:rsidR="009E7280" w:rsidRPr="009E7280" w:rsidRDefault="00B54F58" w:rsidP="009E7280">
      <w:pPr>
        <w:spacing w:line="360" w:lineRule="auto"/>
        <w:jc w:val="both"/>
      </w:pPr>
      <w:r>
        <w:t>While the conditions through which data can be accessed in these cases var</w:t>
      </w:r>
      <w:r w:rsidR="00A06360">
        <w:t>y</w:t>
      </w:r>
      <w:r>
        <w:t xml:space="preserve"> on a case-by-case basis, </w:t>
      </w:r>
      <w:r w:rsidR="004331FC">
        <w:t xml:space="preserve">from </w:t>
      </w:r>
      <w:r w:rsidR="00A06360">
        <w:t>the</w:t>
      </w:r>
      <w:r w:rsidR="004331FC">
        <w:t xml:space="preserve"> perspective of a foreign-based researcher interested in accessing Swedish microdata, </w:t>
      </w:r>
      <w:r>
        <w:t xml:space="preserve">it </w:t>
      </w:r>
      <w:r w:rsidR="008B3498">
        <w:t>might be</w:t>
      </w:r>
      <w:r>
        <w:t xml:space="preserve"> sufficient to be part of a research team with a PI </w:t>
      </w:r>
      <w:r w:rsidR="00F66129">
        <w:t>that is affiliated with the Swedish research institute that has the agreement with SCB.</w:t>
      </w:r>
      <w:r w:rsidR="008B3498">
        <w:t xml:space="preserve"> In this sense, the procedure to get access to the data is no different from a standard SCB project. Of course, as usual</w:t>
      </w:r>
      <w:r w:rsidR="006445DC">
        <w:t>,</w:t>
      </w:r>
      <w:r w:rsidR="008B3498">
        <w:t xml:space="preserve"> both the researcher and the non-Swedish institution</w:t>
      </w:r>
      <w:r w:rsidR="004331FC">
        <w:t xml:space="preserve"> where the foreign-based researcher works from</w:t>
      </w:r>
      <w:r w:rsidR="008B3498">
        <w:t xml:space="preserve"> need to have security clearance in place. </w:t>
      </w:r>
    </w:p>
    <w:p w14:paraId="41C8F076" w14:textId="4F7CD34E" w:rsidR="00C8314A" w:rsidRDefault="00C8314A" w:rsidP="00C8314A">
      <w:pPr>
        <w:pStyle w:val="Heading2"/>
        <w:numPr>
          <w:ilvl w:val="0"/>
          <w:numId w:val="2"/>
        </w:numPr>
        <w:spacing w:after="240"/>
      </w:pPr>
      <w:r>
        <w:t xml:space="preserve">Data protection  </w:t>
      </w:r>
    </w:p>
    <w:p w14:paraId="1ED4BAE1" w14:textId="7620C783" w:rsidR="00914796" w:rsidRDefault="00B73483" w:rsidP="00914796">
      <w:pPr>
        <w:spacing w:line="360" w:lineRule="auto"/>
        <w:jc w:val="both"/>
      </w:pPr>
      <w:r>
        <w:t xml:space="preserve">This section discusses </w:t>
      </w:r>
      <w:r w:rsidR="00914796">
        <w:t xml:space="preserve">how scientific research that uses microdata, which is a task of public interest, can be performed in the </w:t>
      </w:r>
      <w:r>
        <w:t xml:space="preserve">Swedish </w:t>
      </w:r>
      <w:r w:rsidR="00914796">
        <w:t xml:space="preserve">context </w:t>
      </w:r>
      <w:r>
        <w:t>in accordance with data protection rules</w:t>
      </w:r>
      <w:r w:rsidR="00914796">
        <w:t xml:space="preserve">. </w:t>
      </w:r>
    </w:p>
    <w:p w14:paraId="62121989" w14:textId="3AE47D0A" w:rsidR="00914796" w:rsidRPr="009A7538" w:rsidRDefault="00914796" w:rsidP="00914796">
      <w:pPr>
        <w:pStyle w:val="Heading3"/>
      </w:pPr>
      <w:r>
        <w:t>4.1</w:t>
      </w:r>
      <w:r w:rsidRPr="009A7538">
        <w:t xml:space="preserve"> </w:t>
      </w:r>
      <w:r w:rsidR="001F6C2C">
        <w:t>SCB confidentiality assessment</w:t>
      </w:r>
      <w:r>
        <w:t xml:space="preserve"> </w:t>
      </w:r>
      <w:r w:rsidR="007D04CC">
        <w:t>and personal data processing agreement</w:t>
      </w:r>
    </w:p>
    <w:p w14:paraId="3135F9DE" w14:textId="77777777" w:rsidR="001F6C2C" w:rsidRDefault="00914796" w:rsidP="00914796">
      <w:pPr>
        <w:spacing w:line="360" w:lineRule="auto"/>
        <w:jc w:val="both"/>
      </w:pPr>
      <w:r>
        <w:t>In general, i</w:t>
      </w:r>
      <w:r w:rsidRPr="00BB41F4">
        <w:t xml:space="preserve">nformation about individuals and companies contained in </w:t>
      </w:r>
      <w:r>
        <w:t>SCB’s</w:t>
      </w:r>
      <w:r w:rsidRPr="00BB41F4">
        <w:t xml:space="preserve"> register</w:t>
      </w:r>
      <w:r>
        <w:t>s</w:t>
      </w:r>
      <w:r w:rsidRPr="00BB41F4">
        <w:t xml:space="preserve"> is protected by absolute confidentiality</w:t>
      </w:r>
      <w:r>
        <w:t xml:space="preserve"> according to </w:t>
      </w:r>
      <w:r w:rsidRPr="00C51327">
        <w:t>Chapter 24 § 8 of the Publicity and Secrecy Act (2009:400)</w:t>
      </w:r>
      <w:r w:rsidRPr="00BB41F4">
        <w:t xml:space="preserve">. </w:t>
      </w:r>
      <w:r>
        <w:t>However,</w:t>
      </w:r>
      <w:r w:rsidRPr="00BB41F4">
        <w:t xml:space="preserve"> </w:t>
      </w:r>
      <w:r>
        <w:t xml:space="preserve">SCB can make exceptions to this rule and </w:t>
      </w:r>
      <w:r w:rsidRPr="00BB41F4">
        <w:t xml:space="preserve">release data for research or statistical projects. Disclosure of information can only take place for a specific, defined project, and as a rule, identities such as social security numbers and organization numbers are always replaced with serial numbers. </w:t>
      </w:r>
    </w:p>
    <w:p w14:paraId="3CCEC48C" w14:textId="3230BF02" w:rsidR="00E416A9" w:rsidRDefault="00914796" w:rsidP="00E416A9">
      <w:pPr>
        <w:spacing w:line="360" w:lineRule="auto"/>
        <w:jc w:val="both"/>
      </w:pPr>
      <w:r w:rsidRPr="00BB41F4">
        <w:t xml:space="preserve">Before </w:t>
      </w:r>
      <w:r>
        <w:t>SCB</w:t>
      </w:r>
      <w:r w:rsidRPr="00BB41F4">
        <w:t xml:space="preserve"> release</w:t>
      </w:r>
      <w:r>
        <w:t>s</w:t>
      </w:r>
      <w:r w:rsidRPr="00BB41F4">
        <w:t xml:space="preserve"> the data, </w:t>
      </w:r>
      <w:r>
        <w:t>it must perform</w:t>
      </w:r>
      <w:r w:rsidRPr="00BB41F4">
        <w:t xml:space="preserve"> a so-called confidentiality test</w:t>
      </w:r>
      <w:r>
        <w:t xml:space="preserve"> to make sure that data protection is in place</w:t>
      </w:r>
      <w:r w:rsidRPr="00BB41F4">
        <w:t>.</w:t>
      </w:r>
      <w:r w:rsidR="001F6C2C">
        <w:t xml:space="preserve"> </w:t>
      </w:r>
      <w:r w:rsidR="00E416A9">
        <w:t xml:space="preserve">In practice, prior to the confidentiality review, the SCB administrator assigned to the case and the </w:t>
      </w:r>
      <w:r w:rsidR="00E416A9">
        <w:lastRenderedPageBreak/>
        <w:t xml:space="preserve">applicant have an ongoing </w:t>
      </w:r>
      <w:r w:rsidR="009E2CD3">
        <w:t>conversation</w:t>
      </w:r>
      <w:r w:rsidR="00E416A9">
        <w:t xml:space="preserve"> to determine what is requested and that there is support for the information to be released. When the administrator and the applicant agree on what the assignment includes, the administrator summarizes the assignment in a confidentiality review and sends it on for decision. </w:t>
      </w:r>
      <w:r w:rsidR="00E416A9" w:rsidRPr="00E416A9">
        <w:t>A formal decision on disclosure is made by Statistics Sweden</w:t>
      </w:r>
      <w:r w:rsidR="009E2CD3">
        <w:t>’</w:t>
      </w:r>
      <w:r w:rsidR="00E416A9" w:rsidRPr="00E416A9">
        <w:t>s unit manager for assignments and external service.</w:t>
      </w:r>
    </w:p>
    <w:p w14:paraId="20A3646B" w14:textId="2E876301" w:rsidR="001F6C2C" w:rsidRDefault="00A42B01" w:rsidP="00A42B01">
      <w:pPr>
        <w:spacing w:line="360" w:lineRule="auto"/>
        <w:jc w:val="both"/>
      </w:pPr>
      <w:r>
        <w:t xml:space="preserve">The decision on whether the information can be released is based on </w:t>
      </w:r>
      <w:r w:rsidR="00E416A9">
        <w:t>several</w:t>
      </w:r>
      <w:r>
        <w:t xml:space="preserve"> factors. SCB</w:t>
      </w:r>
      <w:r w:rsidR="001F6C2C" w:rsidRPr="001F6C2C">
        <w:t xml:space="preserve"> investigates whether there is support for breaking the confidentiality and releasing the requested information</w:t>
      </w:r>
      <w:r w:rsidR="001F6C2C">
        <w:t>.</w:t>
      </w:r>
      <w:r w:rsidR="001F6C2C" w:rsidRPr="001F6C2C">
        <w:t xml:space="preserve"> A prerequisite is that the disclosed information is covered by an equally strong confidentiality protection at the recipient.</w:t>
      </w:r>
      <w:r>
        <w:t xml:space="preserve"> Organizations</w:t>
      </w:r>
      <w:r w:rsidRPr="00A42B01">
        <w:t xml:space="preserve"> </w:t>
      </w:r>
      <w:r>
        <w:t xml:space="preserve">that SCB </w:t>
      </w:r>
      <w:r w:rsidRPr="00A42B01">
        <w:t xml:space="preserve">has not previously disclosed information </w:t>
      </w:r>
      <w:r>
        <w:t xml:space="preserve">to </w:t>
      </w:r>
      <w:r w:rsidRPr="00A42B01">
        <w:t xml:space="preserve">must describe their technical and organizational safeguards before </w:t>
      </w:r>
      <w:r>
        <w:t>SCB</w:t>
      </w:r>
      <w:r w:rsidRPr="00A42B01">
        <w:t xml:space="preserve"> can decide whether the information can be disclosed subject to confidentiality</w:t>
      </w:r>
      <w:r>
        <w:t xml:space="preserve">. </w:t>
      </w:r>
      <w:r w:rsidRPr="00A42B01">
        <w:t xml:space="preserve">Information covered by confidentiality </w:t>
      </w:r>
      <w:r>
        <w:t xml:space="preserve">must never be </w:t>
      </w:r>
      <w:r w:rsidRPr="00A42B01">
        <w:t>disclosed to private individuals, not even with a confidentiality clause.</w:t>
      </w:r>
      <w:r>
        <w:t xml:space="preserve"> Moreover, SCB examines whether there is a risk that, after disclosure, the data may be processed in violation of</w:t>
      </w:r>
      <w:r w:rsidR="00E416A9">
        <w:t xml:space="preserve"> i) d</w:t>
      </w:r>
      <w:r>
        <w:t>ata protection regulation (GDPR)</w:t>
      </w:r>
      <w:r w:rsidR="00E416A9">
        <w:t>; ii) t</w:t>
      </w:r>
      <w:r>
        <w:t>he law (2018:218) with supplementary provisions to the EU's data protection regulation</w:t>
      </w:r>
      <w:r w:rsidR="00E416A9">
        <w:t xml:space="preserve">; and iii) </w:t>
      </w:r>
      <w:r>
        <w:t>Section 6 of the Ethics Review Act.</w:t>
      </w:r>
      <w:r w:rsidR="00E416A9">
        <w:t xml:space="preserve"> </w:t>
      </w:r>
      <w:r w:rsidR="00E416A9" w:rsidRPr="00E416A9">
        <w:t>Th</w:t>
      </w:r>
      <w:r w:rsidR="00E416A9">
        <w:t>is</w:t>
      </w:r>
      <w:r w:rsidR="00E416A9" w:rsidRPr="00E416A9">
        <w:t xml:space="preserve"> test includes an assessment of whether the processing meets the data protection regulation</w:t>
      </w:r>
      <w:r w:rsidR="009E2CD3">
        <w:t>’</w:t>
      </w:r>
      <w:r w:rsidR="00E416A9" w:rsidRPr="00E416A9">
        <w:t>s requirements for personal data minimization</w:t>
      </w:r>
      <w:r w:rsidR="00E416A9">
        <w:t>.</w:t>
      </w:r>
    </w:p>
    <w:p w14:paraId="64226332" w14:textId="58427990" w:rsidR="00B73483" w:rsidRDefault="00B73483" w:rsidP="00B73483">
      <w:pPr>
        <w:spacing w:line="360" w:lineRule="auto"/>
        <w:jc w:val="both"/>
      </w:pPr>
      <w:r>
        <w:t xml:space="preserve">SCB projects are temporary and can be extended upon request for specific reasons. All data processors agree to abide to data protection rules throughout the duration of the project, and confidentiality rules must be followed also after the completion of the project. Users found infringing the rules </w:t>
      </w:r>
      <w:r w:rsidR="00513E4E">
        <w:t xml:space="preserve">are </w:t>
      </w:r>
      <w:r>
        <w:t xml:space="preserve">subject </w:t>
      </w:r>
      <w:r w:rsidR="00513E4E">
        <w:t xml:space="preserve">to </w:t>
      </w:r>
      <w:r w:rsidR="0056400D">
        <w:t>termination of data access also in</w:t>
      </w:r>
      <w:r>
        <w:t xml:space="preserve"> for future applications (for individual researchers and possibly their organization). </w:t>
      </w:r>
    </w:p>
    <w:p w14:paraId="77D7D537" w14:textId="4CC7B5B9" w:rsidR="000C4738" w:rsidRPr="00A55CC2" w:rsidRDefault="009166B8" w:rsidP="00B73483">
      <w:pPr>
        <w:spacing w:line="360" w:lineRule="auto"/>
        <w:jc w:val="both"/>
      </w:pPr>
      <w:r w:rsidRPr="00A55CC2">
        <w:t xml:space="preserve">When </w:t>
      </w:r>
      <w:r w:rsidR="007D04CC" w:rsidRPr="00A55CC2">
        <w:t>SCB</w:t>
      </w:r>
      <w:r w:rsidRPr="00A55CC2">
        <w:t xml:space="preserve"> </w:t>
      </w:r>
      <w:r w:rsidR="007D04CC" w:rsidRPr="00A55CC2">
        <w:t xml:space="preserve">releases the </w:t>
      </w:r>
      <w:r w:rsidRPr="00A55CC2">
        <w:t>microdata, the recipient</w:t>
      </w:r>
      <w:r w:rsidR="005748AC" w:rsidRPr="00A55CC2">
        <w:t xml:space="preserve"> (</w:t>
      </w:r>
      <w:r w:rsidR="007D04CC" w:rsidRPr="00A55CC2">
        <w:t xml:space="preserve">the </w:t>
      </w:r>
      <w:r w:rsidR="005748AC" w:rsidRPr="00A55CC2">
        <w:t>organization to which the data was released)</w:t>
      </w:r>
      <w:r w:rsidRPr="00A55CC2">
        <w:t xml:space="preserve"> </w:t>
      </w:r>
      <w:r w:rsidR="007D04CC" w:rsidRPr="00A55CC2">
        <w:t xml:space="preserve">becomes </w:t>
      </w:r>
      <w:r w:rsidRPr="00A55CC2">
        <w:t>responsible for the data, irrespective of whether the data was released in MONA or in some other way.</w:t>
      </w:r>
      <w:r w:rsidR="00A55CC2" w:rsidRPr="00A55CC2">
        <w:t xml:space="preserve"> This happens only after a</w:t>
      </w:r>
      <w:r w:rsidRPr="00A55CC2">
        <w:t xml:space="preserve"> personal data processing agreement regarding the personal data </w:t>
      </w:r>
      <w:r w:rsidR="00A55CC2" w:rsidRPr="00A55CC2">
        <w:t>is</w:t>
      </w:r>
      <w:r w:rsidRPr="00A55CC2">
        <w:t xml:space="preserve"> signed between </w:t>
      </w:r>
      <w:r w:rsidR="00A55CC2" w:rsidRPr="00A55CC2">
        <w:t xml:space="preserve">SCB </w:t>
      </w:r>
      <w:r w:rsidRPr="00A55CC2">
        <w:t xml:space="preserve">the </w:t>
      </w:r>
      <w:r w:rsidR="00A55CC2" w:rsidRPr="00A55CC2">
        <w:t>recipient</w:t>
      </w:r>
      <w:r w:rsidRPr="00A55CC2">
        <w:t>.</w:t>
      </w:r>
      <w:r w:rsidR="00A55CC2" w:rsidRPr="00A55CC2">
        <w:t xml:space="preserve"> If the recipient </w:t>
      </w:r>
      <w:r w:rsidR="002B07C7">
        <w:t xml:space="preserve">is </w:t>
      </w:r>
      <w:r w:rsidR="00A55CC2" w:rsidRPr="00A55CC2">
        <w:t>an</w:t>
      </w:r>
      <w:r w:rsidRPr="00A55CC2">
        <w:t xml:space="preserve"> authority</w:t>
      </w:r>
      <w:r w:rsidR="00A55CC2" w:rsidRPr="00A55CC2">
        <w:t>, the recipient</w:t>
      </w:r>
      <w:r w:rsidRPr="00A55CC2">
        <w:t xml:space="preserve"> decides which employees within </w:t>
      </w:r>
      <w:r w:rsidR="00A55CC2" w:rsidRPr="00A55CC2">
        <w:t>the</w:t>
      </w:r>
      <w:r w:rsidRPr="00A55CC2">
        <w:t xml:space="preserve"> </w:t>
      </w:r>
      <w:r w:rsidR="00A55CC2" w:rsidRPr="00A55CC2">
        <w:t>organization</w:t>
      </w:r>
      <w:r w:rsidRPr="00A55CC2">
        <w:t xml:space="preserve"> may have access to the data.</w:t>
      </w:r>
      <w:r w:rsidR="00A55CC2" w:rsidRPr="00A55CC2">
        <w:t xml:space="preserve"> People </w:t>
      </w:r>
      <w:r w:rsidRPr="00A55CC2">
        <w:t xml:space="preserve">outside the authority </w:t>
      </w:r>
      <w:r w:rsidR="00A55CC2" w:rsidRPr="00A55CC2">
        <w:t xml:space="preserve">can access </w:t>
      </w:r>
      <w:r w:rsidRPr="00A55CC2">
        <w:t>data</w:t>
      </w:r>
      <w:r w:rsidR="00A55CC2" w:rsidRPr="00A55CC2">
        <w:t xml:space="preserve"> remotely</w:t>
      </w:r>
      <w:r w:rsidRPr="00A55CC2">
        <w:t xml:space="preserve"> </w:t>
      </w:r>
      <w:r w:rsidR="00A55CC2" w:rsidRPr="00A55CC2">
        <w:t>only if they are</w:t>
      </w:r>
      <w:r w:rsidRPr="00A55CC2">
        <w:t xml:space="preserve"> linked to the authority as if they were employees.</w:t>
      </w:r>
      <w:r w:rsidR="00A55CC2" w:rsidRPr="00A55CC2">
        <w:t xml:space="preserve"> </w:t>
      </w:r>
      <w:r w:rsidRPr="00A55CC2">
        <w:t xml:space="preserve">If the information is to be released to another </w:t>
      </w:r>
      <w:r w:rsidR="00A55CC2" w:rsidRPr="00A55CC2">
        <w:t>organization</w:t>
      </w:r>
      <w:r w:rsidRPr="00A55CC2">
        <w:t xml:space="preserve">, the authority must carry out its own confidentiality assessment. In cases where the microdata is released to another </w:t>
      </w:r>
      <w:r w:rsidR="00A55CC2" w:rsidRPr="00A55CC2">
        <w:t>organization</w:t>
      </w:r>
      <w:r w:rsidRPr="00A55CC2">
        <w:t>, MONA</w:t>
      </w:r>
      <w:r w:rsidR="00A55CC2" w:rsidRPr="00A55CC2">
        <w:t xml:space="preserve"> remote access</w:t>
      </w:r>
      <w:r w:rsidRPr="00A55CC2">
        <w:t xml:space="preserve"> can only be used in special cases.</w:t>
      </w:r>
      <w:r w:rsidR="00A55CC2" w:rsidRPr="00A55CC2">
        <w:t xml:space="preserve"> In practice, this can limit data access for people working in non-Swedish institutions, although it does not prevent them from doing so. Private organizations can be data recipients according to specific rules.</w:t>
      </w:r>
    </w:p>
    <w:p w14:paraId="6097BF98" w14:textId="5D193FFD" w:rsidR="00C2601D" w:rsidRPr="009A7538" w:rsidRDefault="00C2601D" w:rsidP="00C2601D">
      <w:pPr>
        <w:pStyle w:val="Heading3"/>
      </w:pPr>
      <w:r w:rsidRPr="009A7538">
        <w:t>4</w:t>
      </w:r>
      <w:r>
        <w:t>.</w:t>
      </w:r>
      <w:r w:rsidR="003D2DEB">
        <w:t>2</w:t>
      </w:r>
      <w:r w:rsidRPr="009A7538">
        <w:t xml:space="preserve"> </w:t>
      </w:r>
      <w:r>
        <w:t>Remote access</w:t>
      </w:r>
      <w:r w:rsidRPr="009A7538">
        <w:t xml:space="preserve"> </w:t>
      </w:r>
      <w:r>
        <w:t>and exporting output data</w:t>
      </w:r>
      <w:r w:rsidRPr="009A7538">
        <w:t>.</w:t>
      </w:r>
    </w:p>
    <w:p w14:paraId="0FCB1FA3" w14:textId="3F35838D" w:rsidR="00F30442" w:rsidRDefault="000C4738" w:rsidP="00914796">
      <w:pPr>
        <w:spacing w:line="360" w:lineRule="auto"/>
        <w:jc w:val="both"/>
      </w:pPr>
      <w:r w:rsidRPr="000C4738">
        <w:t>Once the confidentiality assessment has been approved, the requested information is provided in the form of microdata. The recipient is responsible for disclosed information</w:t>
      </w:r>
      <w:r>
        <w:t xml:space="preserve">. </w:t>
      </w:r>
      <w:r w:rsidRPr="000C4738">
        <w:t xml:space="preserve">It is up to the recipient to protect the data from unauthorized access and prevent dissemination. To </w:t>
      </w:r>
      <w:r w:rsidR="0008596D">
        <w:t>make this possible</w:t>
      </w:r>
      <w:r w:rsidRPr="000C4738">
        <w:t xml:space="preserve">, </w:t>
      </w:r>
      <w:r w:rsidR="0008596D">
        <w:t>SCB</w:t>
      </w:r>
      <w:r w:rsidRPr="000C4738">
        <w:t xml:space="preserve"> offers the MONA </w:t>
      </w:r>
      <w:r w:rsidRPr="000C4738">
        <w:lastRenderedPageBreak/>
        <w:t xml:space="preserve">platform, where </w:t>
      </w:r>
      <w:r w:rsidR="0008596D">
        <w:t xml:space="preserve">the </w:t>
      </w:r>
      <w:r w:rsidRPr="000C4738">
        <w:t xml:space="preserve">microdata can be processed together with data from other sources in a restricted and secure environment with two-factor login. </w:t>
      </w:r>
    </w:p>
    <w:p w14:paraId="7EF22E51" w14:textId="12C5476D" w:rsidR="00F30442" w:rsidRDefault="001A230F" w:rsidP="00914796">
      <w:pPr>
        <w:spacing w:line="360" w:lineRule="auto"/>
        <w:jc w:val="both"/>
      </w:pPr>
      <w:r>
        <w:t>In accordance with the GDPR, i</w:t>
      </w:r>
      <w:r w:rsidRPr="001A230F">
        <w:t xml:space="preserve">n order to secure integrity and confidentiality, </w:t>
      </w:r>
      <w:r>
        <w:t>SCB</w:t>
      </w:r>
      <w:r w:rsidRPr="001A230F">
        <w:t xml:space="preserve"> only delivers data in MONA without personally identifiable information</w:t>
      </w:r>
      <w:r>
        <w:t xml:space="preserve">. That is, </w:t>
      </w:r>
      <w:r w:rsidRPr="001A230F">
        <w:t>personal identity numbers are replaced by serial numbers prior to delivery</w:t>
      </w:r>
      <w:r>
        <w:t>. Moreover, p</w:t>
      </w:r>
      <w:r w:rsidRPr="001A230F">
        <w:t>ersonal data processing is limited to users who have been approved by the recipient</w:t>
      </w:r>
      <w:r w:rsidR="0008596D">
        <w:t xml:space="preserve"> institution</w:t>
      </w:r>
      <w:r w:rsidRPr="001A230F">
        <w:t>.</w:t>
      </w:r>
      <w:r>
        <w:t xml:space="preserve"> Nevertheless,</w:t>
      </w:r>
      <w:r w:rsidRPr="001A230F">
        <w:t xml:space="preserve"> the released data is personal data and must be treated as such. The</w:t>
      </w:r>
      <w:r w:rsidR="000C4738">
        <w:t xml:space="preserve"> data is protected by secrecy and the</w:t>
      </w:r>
      <w:r w:rsidRPr="001A230F">
        <w:t xml:space="preserve"> recipient shall ensure that the information is not disseminated to unauthorized parties and may not</w:t>
      </w:r>
      <w:r>
        <w:t xml:space="preserve"> </w:t>
      </w:r>
      <w:r w:rsidRPr="001A230F">
        <w:t>be used by other organizations or for other purposes. MONA</w:t>
      </w:r>
      <w:r>
        <w:t>, SCB’s remote access system to administrative registers,</w:t>
      </w:r>
      <w:r w:rsidRPr="001A230F">
        <w:t xml:space="preserve"> is a solution that ensures such processing.</w:t>
      </w:r>
    </w:p>
    <w:p w14:paraId="01BED73D" w14:textId="47EBCB49" w:rsidR="001A230F" w:rsidRPr="0008596D" w:rsidRDefault="001A230F" w:rsidP="00914796">
      <w:pPr>
        <w:spacing w:line="360" w:lineRule="auto"/>
        <w:jc w:val="both"/>
      </w:pPr>
      <w:r w:rsidRPr="0008596D">
        <w:t xml:space="preserve">Information in MONA </w:t>
      </w:r>
      <w:r w:rsidR="002B07C7">
        <w:t>is</w:t>
      </w:r>
      <w:r w:rsidR="002B07C7" w:rsidRPr="0008596D">
        <w:t xml:space="preserve"> </w:t>
      </w:r>
      <w:r w:rsidRPr="0008596D">
        <w:t xml:space="preserve">processed in accordance with the terms of use, which stipulate, among other things, from where MONA may be used. MONA can only be used in the EU, EEA, and in third countries approved for transfer by the European Commission. MONA’s terms of use and additional documentation are available on SCB’s website. </w:t>
      </w:r>
    </w:p>
    <w:p w14:paraId="56513EC1" w14:textId="7A44F352" w:rsidR="0056400D" w:rsidRPr="0008596D" w:rsidRDefault="0008596D" w:rsidP="00914796">
      <w:pPr>
        <w:spacing w:line="360" w:lineRule="auto"/>
        <w:jc w:val="both"/>
      </w:pPr>
      <w:r>
        <w:t xml:space="preserve">In practice, </w:t>
      </w:r>
      <w:r w:rsidR="0056400D" w:rsidRPr="0008596D">
        <w:t>MONA users</w:t>
      </w:r>
      <w:r w:rsidR="0056400D" w:rsidRPr="0056400D">
        <w:rPr>
          <w:i/>
          <w:iCs/>
        </w:rPr>
        <w:t xml:space="preserve"> </w:t>
      </w:r>
      <w:r w:rsidR="0056400D" w:rsidRPr="0008596D">
        <w:t>work in a Windows environment via a remote connection</w:t>
      </w:r>
      <w:r>
        <w:t>, and the m</w:t>
      </w:r>
      <w:r w:rsidR="0056400D" w:rsidRPr="0008596D">
        <w:t xml:space="preserve">icrodata is displayed on the computer screen. Users </w:t>
      </w:r>
      <w:r>
        <w:t xml:space="preserve">can only </w:t>
      </w:r>
      <w:r w:rsidR="0056400D" w:rsidRPr="0008596D">
        <w:t xml:space="preserve">download results to their own computer, the microdata </w:t>
      </w:r>
      <w:r>
        <w:t xml:space="preserve">must always stay safely stored </w:t>
      </w:r>
      <w:r w:rsidR="0056400D" w:rsidRPr="0008596D">
        <w:t xml:space="preserve">in MONA. </w:t>
      </w:r>
      <w:r>
        <w:t>The system is flexible, as u</w:t>
      </w:r>
      <w:r w:rsidR="0056400D" w:rsidRPr="0008596D">
        <w:t xml:space="preserve">sers have the possibility of transferring their own material to their storage area in MONA, </w:t>
      </w:r>
      <w:r>
        <w:t>such as</w:t>
      </w:r>
      <w:r w:rsidR="0056400D" w:rsidRPr="0008596D">
        <w:t xml:space="preserve"> </w:t>
      </w:r>
      <w:r>
        <w:t xml:space="preserve">aggregate </w:t>
      </w:r>
      <w:r w:rsidR="0056400D" w:rsidRPr="0008596D">
        <w:t xml:space="preserve">statistics or scripts needed for the purpose for which </w:t>
      </w:r>
      <w:r>
        <w:t>SCB</w:t>
      </w:r>
      <w:r w:rsidR="0056400D" w:rsidRPr="0008596D">
        <w:t xml:space="preserve"> released the data. Besides having access to released microdata, software and their own storage area, MONA users also have access to metadata regarding most of Statistics Sweden’s microdata registers.</w:t>
      </w:r>
      <w:r>
        <w:t xml:space="preserve"> Most metadata </w:t>
      </w:r>
      <w:r w:rsidR="00BA7649">
        <w:t>and documentation, including on SCB website, is in Swedish.</w:t>
      </w:r>
    </w:p>
    <w:p w14:paraId="50D5379C" w14:textId="4F89CA12" w:rsidR="00914796" w:rsidRDefault="00044056" w:rsidP="00EB5D26">
      <w:pPr>
        <w:spacing w:line="360" w:lineRule="auto"/>
        <w:jc w:val="both"/>
      </w:pPr>
      <w:r>
        <w:t xml:space="preserve">When it comes to exporting results, particular attention must be paid to the secrecy requirements. </w:t>
      </w:r>
      <w:r w:rsidR="00C2601D" w:rsidRPr="00044056">
        <w:t xml:space="preserve">According to the terms of use, </w:t>
      </w:r>
      <w:r>
        <w:t xml:space="preserve">it is the researcher’s responsibility </w:t>
      </w:r>
      <w:r w:rsidR="00C2601D" w:rsidRPr="00044056">
        <w:t xml:space="preserve">not to download any data that contain microdata from MONA. Microdata refers to </w:t>
      </w:r>
      <w:r w:rsidR="00E358AC">
        <w:t xml:space="preserve">data on </w:t>
      </w:r>
      <w:r w:rsidR="00C2601D" w:rsidRPr="00044056">
        <w:t xml:space="preserve">individual </w:t>
      </w:r>
      <w:r>
        <w:t>units</w:t>
      </w:r>
      <w:r w:rsidR="00C2601D" w:rsidRPr="00044056">
        <w:t>, e.g., people, companies, workplaces, schools</w:t>
      </w:r>
      <w:r>
        <w:t>, and so on</w:t>
      </w:r>
      <w:r w:rsidR="00C2601D" w:rsidRPr="00044056">
        <w:t>.</w:t>
      </w:r>
      <w:r>
        <w:t xml:space="preserve"> Users are allowed to export aggregated data</w:t>
      </w:r>
      <w:r w:rsidR="00DC4E2F">
        <w:t xml:space="preserve">, that is, cell-level data that contains only </w:t>
      </w:r>
      <w:r w:rsidR="00C2601D" w:rsidRPr="00DC4E2F">
        <w:t>few objects</w:t>
      </w:r>
      <w:r w:rsidR="00DC4E2F">
        <w:t xml:space="preserve">, but since </w:t>
      </w:r>
      <w:r w:rsidR="00C2601D" w:rsidRPr="00DC4E2F">
        <w:t xml:space="preserve">the data </w:t>
      </w:r>
      <w:r w:rsidR="00DC4E2F">
        <w:t>is</w:t>
      </w:r>
      <w:r w:rsidR="00C2601D" w:rsidRPr="00DC4E2F">
        <w:t xml:space="preserve"> protected by secrecy, </w:t>
      </w:r>
      <w:r w:rsidR="00DC4E2F">
        <w:t>it is the user’s</w:t>
      </w:r>
      <w:r w:rsidR="00C2601D" w:rsidRPr="00DC4E2F">
        <w:t xml:space="preserve"> responsibility to verify the information before disclosing it. </w:t>
      </w:r>
      <w:r w:rsidR="00DC4E2F">
        <w:t>SCB offers guidance on how the conditions to fulfill when exporting data thorough a</w:t>
      </w:r>
      <w:r w:rsidR="00C2601D" w:rsidRPr="00DC4E2F">
        <w:t xml:space="preserve"> report (in Swedish) about disclosure control.</w:t>
      </w:r>
      <w:r w:rsidR="00BF32D4">
        <w:rPr>
          <w:rStyle w:val="FootnoteReference"/>
        </w:rPr>
        <w:footnoteReference w:id="6"/>
      </w:r>
    </w:p>
    <w:p w14:paraId="74973738" w14:textId="23799532" w:rsidR="00B91C85" w:rsidRPr="00B91C85" w:rsidRDefault="001D6174" w:rsidP="00B91C85">
      <w:pPr>
        <w:pStyle w:val="Heading2"/>
        <w:numPr>
          <w:ilvl w:val="0"/>
          <w:numId w:val="2"/>
        </w:numPr>
        <w:spacing w:after="240"/>
      </w:pPr>
      <w:r>
        <w:t>E</w:t>
      </w:r>
      <w:r w:rsidR="00D938DD">
        <w:t xml:space="preserve">quality of </w:t>
      </w:r>
      <w:r>
        <w:t xml:space="preserve">data </w:t>
      </w:r>
      <w:r w:rsidR="00D938DD">
        <w:t>access</w:t>
      </w:r>
    </w:p>
    <w:p w14:paraId="6052B1E5" w14:textId="075FBE1D" w:rsidR="00070594" w:rsidRDefault="0058331F" w:rsidP="007A0DE5">
      <w:pPr>
        <w:spacing w:line="360" w:lineRule="auto"/>
        <w:jc w:val="both"/>
      </w:pPr>
      <w:r>
        <w:t>T</w:t>
      </w:r>
      <w:r w:rsidR="003D68D6">
        <w:t xml:space="preserve">he system appears to be quite </w:t>
      </w:r>
      <w:r w:rsidR="00F72FB7">
        <w:t>well-</w:t>
      </w:r>
      <w:r w:rsidR="003D68D6">
        <w:t>developed equal</w:t>
      </w:r>
      <w:r w:rsidR="008A6D78">
        <w:t xml:space="preserve"> in many respects</w:t>
      </w:r>
      <w:r w:rsidR="003D68D6">
        <w:t xml:space="preserve">. </w:t>
      </w:r>
      <w:r w:rsidR="00C37EEE">
        <w:t>T</w:t>
      </w:r>
      <w:r w:rsidR="003D68D6">
        <w:t>he system is centered around the national statistical authority</w:t>
      </w:r>
      <w:r w:rsidR="007A0DE5">
        <w:t xml:space="preserve"> and the </w:t>
      </w:r>
      <w:r w:rsidR="00C37EEE">
        <w:t>rules for accessing the data remotely in a secure environment are clear</w:t>
      </w:r>
      <w:r w:rsidR="003D68D6">
        <w:t xml:space="preserve">. </w:t>
      </w:r>
      <w:r w:rsidR="00C37EEE">
        <w:lastRenderedPageBreak/>
        <w:t xml:space="preserve">In addition, when applying to access microdata at SCB, </w:t>
      </w:r>
      <w:r w:rsidR="00C9765C">
        <w:t xml:space="preserve">the data is released for research purposes, but </w:t>
      </w:r>
      <w:r w:rsidR="004F2480">
        <w:t>the decision of issuing the data permit is not taken by a scientific committee</w:t>
      </w:r>
      <w:r w:rsidR="00C37EEE">
        <w:t xml:space="preserve">. </w:t>
      </w:r>
      <w:r w:rsidR="007A0DE5">
        <w:t>Instead, s</w:t>
      </w:r>
      <w:r w:rsidR="00C37EEE">
        <w:t>imilar to what happens for instance in Fin</w:t>
      </w:r>
      <w:r w:rsidR="007A0DE5">
        <w:t>land</w:t>
      </w:r>
      <w:r w:rsidR="00C37EEE">
        <w:t xml:space="preserve">, the decision on whether </w:t>
      </w:r>
      <w:r w:rsidR="007A0DE5">
        <w:t xml:space="preserve">to </w:t>
      </w:r>
      <w:r w:rsidR="00C37EEE">
        <w:t>provide access to the microdata</w:t>
      </w:r>
      <w:r w:rsidR="00070594">
        <w:t xml:space="preserve"> is</w:t>
      </w:r>
      <w:r w:rsidR="00134210">
        <w:t xml:space="preserve"> taken by statisticians and lawyers</w:t>
      </w:r>
      <w:r w:rsidR="00070594">
        <w:t xml:space="preserve"> based on data protection rules</w:t>
      </w:r>
      <w:r w:rsidR="0014515B">
        <w:t xml:space="preserve">, and the </w:t>
      </w:r>
      <w:r w:rsidR="0014515B" w:rsidRPr="0014515B">
        <w:t xml:space="preserve">application is evaluated </w:t>
      </w:r>
      <w:r w:rsidR="0014515B">
        <w:t xml:space="preserve">only </w:t>
      </w:r>
      <w:r w:rsidR="0014515B" w:rsidRPr="0014515B">
        <w:t>on the basis of its legal feasibility</w:t>
      </w:r>
      <w:r w:rsidR="0014515B">
        <w:t xml:space="preserve">. </w:t>
      </w:r>
      <w:r w:rsidR="007A0DE5">
        <w:t>This applies also for projects that require to use external microdata linked to SCB’s registers</w:t>
      </w:r>
      <w:r w:rsidR="00F553A2">
        <w:t xml:space="preserve">, which </w:t>
      </w:r>
      <w:r w:rsidR="007A0DE5">
        <w:t xml:space="preserve">makes the system extremely flexible in terms of what data sources can be used </w:t>
      </w:r>
      <w:r w:rsidR="00070594">
        <w:t xml:space="preserve">for research purposes. </w:t>
      </w:r>
      <w:r w:rsidR="007A0DE5">
        <w:t>Data access is also flexible</w:t>
      </w:r>
      <w:r w:rsidR="00070594">
        <w:t xml:space="preserve">, </w:t>
      </w:r>
      <w:r w:rsidR="007A0DE5">
        <w:t xml:space="preserve">since the registers </w:t>
      </w:r>
      <w:r w:rsidR="00070594">
        <w:t>can be easily and flexibly accessed from any EU and EEA country</w:t>
      </w:r>
      <w:r w:rsidR="007A0DE5">
        <w:t xml:space="preserve">, or from other countries </w:t>
      </w:r>
      <w:r w:rsidR="00070594">
        <w:t xml:space="preserve">recognized as secure according to </w:t>
      </w:r>
      <w:r w:rsidR="007A0DE5">
        <w:t>GDPR</w:t>
      </w:r>
      <w:r w:rsidR="00070594">
        <w:t>.</w:t>
      </w:r>
    </w:p>
    <w:p w14:paraId="71C92858" w14:textId="3DE6191C" w:rsidR="00365848" w:rsidRDefault="004275C9" w:rsidP="00365848">
      <w:pPr>
        <w:spacing w:line="360" w:lineRule="auto"/>
        <w:jc w:val="both"/>
      </w:pPr>
      <w:r>
        <w:t>From the perspective of a</w:t>
      </w:r>
      <w:r w:rsidR="001F7C2A">
        <w:t xml:space="preserve"> </w:t>
      </w:r>
      <w:r>
        <w:t xml:space="preserve">researcher interested in using Swedish administrative registers via SCB, </w:t>
      </w:r>
      <w:r w:rsidR="001F7C2A">
        <w:t>data access is conditional on fulfilling specific data security requirements</w:t>
      </w:r>
      <w:r w:rsidR="00446D60">
        <w:t xml:space="preserve">. </w:t>
      </w:r>
      <w:r w:rsidR="001F7C2A">
        <w:t>In particular, a</w:t>
      </w:r>
      <w:r w:rsidR="00446D60">
        <w:t xml:space="preserve">ny data access </w:t>
      </w:r>
      <w:r>
        <w:t>agreement is always made between SCB and a Swedish institution</w:t>
      </w:r>
      <w:r w:rsidR="00446D60">
        <w:t xml:space="preserve">, which </w:t>
      </w:r>
      <w:r>
        <w:t xml:space="preserve">in turn </w:t>
      </w:r>
      <w:r w:rsidR="00446D60">
        <w:t xml:space="preserve">must </w:t>
      </w:r>
      <w:r>
        <w:t xml:space="preserve">have an agreement with individual researchers. </w:t>
      </w:r>
      <w:r w:rsidR="00446D60">
        <w:t>While t</w:t>
      </w:r>
      <w:r>
        <w:t xml:space="preserve">his in practice is not an issue for researchers employed at Swedish </w:t>
      </w:r>
      <w:r w:rsidR="00446D60">
        <w:t>universities</w:t>
      </w:r>
      <w:r>
        <w:t xml:space="preserve">, it is not </w:t>
      </w:r>
      <w:r w:rsidR="00446D60">
        <w:t>a given</w:t>
      </w:r>
      <w:r>
        <w:t xml:space="preserve"> to obtain data access for people employed at foreign-based institutions. According to what </w:t>
      </w:r>
      <w:r w:rsidR="002B07C7">
        <w:t xml:space="preserve">is </w:t>
      </w:r>
      <w:r>
        <w:t>reported on their own website, SCB is strict in terms of providing access to researchers employed in foreign-based institutions. However, over time, an increasing number of non-Swedish</w:t>
      </w:r>
      <w:r w:rsidR="00D17CA5">
        <w:t xml:space="preserve"> universities</w:t>
      </w:r>
      <w:r>
        <w:t xml:space="preserve"> have become part of agreements with </w:t>
      </w:r>
      <w:r w:rsidR="00D17CA5">
        <w:t xml:space="preserve">SCB </w:t>
      </w:r>
      <w:r>
        <w:t>Swedish universities, making it easier for foreign-based researchers to work with Swedish data in the context of international collaborations. It is reasonable</w:t>
      </w:r>
      <w:r w:rsidR="00446D60">
        <w:t xml:space="preserve"> to expect</w:t>
      </w:r>
      <w:r>
        <w:t xml:space="preserve"> that this trend will continue in the future.</w:t>
      </w:r>
      <w:r w:rsidR="00E821E6">
        <w:t xml:space="preserve"> </w:t>
      </w:r>
    </w:p>
    <w:p w14:paraId="535AB17C" w14:textId="3E057AB5" w:rsidR="00962413" w:rsidRDefault="001B5AF2" w:rsidP="00D938DD">
      <w:pPr>
        <w:spacing w:line="360" w:lineRule="auto"/>
        <w:jc w:val="both"/>
      </w:pPr>
      <w:r>
        <w:t>F</w:t>
      </w:r>
      <w:r w:rsidR="00446D60">
        <w:t>rom the perspective of foreign-based researcher</w:t>
      </w:r>
      <w:r w:rsidR="00947FAB">
        <w:t>s</w:t>
      </w:r>
      <w:r w:rsidR="00365848">
        <w:t>,</w:t>
      </w:r>
      <w:r w:rsidR="00446D60">
        <w:t xml:space="preserve"> the requirement of having established connections with Swedish-based researchers </w:t>
      </w:r>
      <w:r>
        <w:t>might appear limiting</w:t>
      </w:r>
      <w:r w:rsidR="00365848">
        <w:t xml:space="preserve">. However, </w:t>
      </w:r>
      <w:r w:rsidR="00E821E6">
        <w:t>g</w:t>
      </w:r>
      <w:r w:rsidR="004B04D8">
        <w:t>iv</w:t>
      </w:r>
      <w:r w:rsidR="00BD7E3F">
        <w:t>e</w:t>
      </w:r>
      <w:r w:rsidR="004B04D8">
        <w:t>n</w:t>
      </w:r>
      <w:r w:rsidR="00BD7E3F">
        <w:t xml:space="preserve"> the complexity of the </w:t>
      </w:r>
      <w:r w:rsidR="00E821E6">
        <w:t>population-wide registers</w:t>
      </w:r>
      <w:r w:rsidR="00BD7E3F">
        <w:t xml:space="preserve"> and </w:t>
      </w:r>
      <w:r w:rsidR="00E821E6">
        <w:t>of the related administrative</w:t>
      </w:r>
      <w:r w:rsidR="00BD7E3F">
        <w:t xml:space="preserve"> details, collaborating </w:t>
      </w:r>
      <w:r w:rsidR="00E821E6">
        <w:t xml:space="preserve">with researchers based in a Swedish </w:t>
      </w:r>
      <w:r w:rsidR="00BD7E3F">
        <w:t xml:space="preserve">institution to work on </w:t>
      </w:r>
      <w:r w:rsidR="00E821E6">
        <w:t>Swedish</w:t>
      </w:r>
      <w:r w:rsidR="00BD7E3F">
        <w:t xml:space="preserve"> </w:t>
      </w:r>
      <w:r w:rsidR="00E821E6">
        <w:t>microdata</w:t>
      </w:r>
      <w:r w:rsidR="00BD7E3F">
        <w:t xml:space="preserve"> would be </w:t>
      </w:r>
      <w:r w:rsidR="003A3D27">
        <w:t xml:space="preserve">very </w:t>
      </w:r>
      <w:r w:rsidR="00BD7E3F">
        <w:t>strongly advised even if it was not required by law.</w:t>
      </w:r>
      <w:r w:rsidR="004B04D8">
        <w:t xml:space="preserve"> </w:t>
      </w:r>
      <w:r w:rsidR="00365848">
        <w:t>Establishing connections with Swedish-based researchers is also crucial for the purpose of understanding the intricate details concerning the administrative data and the standard data-cleaning and preparation procedures that over the years the Swedish research community has been developing. Working together with Swedish-based researcher</w:t>
      </w:r>
      <w:r w:rsidR="002B07C7">
        <w:t>s</w:t>
      </w:r>
      <w:r w:rsidR="00365848">
        <w:t xml:space="preserve"> is also going to be </w:t>
      </w:r>
      <w:r w:rsidR="00925CC6">
        <w:t xml:space="preserve">necessary to </w:t>
      </w:r>
      <w:r w:rsidR="00365848">
        <w:t>deal with the fact that large parts of the SCB website and the metadata describing the registers are in Swedish language. In addition, knowing where to find and how to apply for external data sources, and whether this is needed at all, is something that can only</w:t>
      </w:r>
      <w:r w:rsidR="00925CC6">
        <w:t xml:space="preserve"> be</w:t>
      </w:r>
      <w:r w:rsidR="00365848">
        <w:t xml:space="preserve"> learned with time. Some of these external data sources might be hard to obtain </w:t>
      </w:r>
      <w:r w:rsidR="007C7CD4">
        <w:t xml:space="preserve">without having built trust with the given institution. </w:t>
      </w:r>
      <w:r w:rsidR="00365848">
        <w:t>Therefore, a</w:t>
      </w:r>
      <w:r w:rsidR="007C7CD4">
        <w:t>lso in this case</w:t>
      </w:r>
      <w:r w:rsidR="00925CC6">
        <w:t>,</w:t>
      </w:r>
      <w:r w:rsidR="007C7CD4">
        <w:t xml:space="preserve"> it proves useful and often necessary to work with researchers </w:t>
      </w:r>
      <w:r w:rsidR="00E00CD5">
        <w:t>employed at a Swedish</w:t>
      </w:r>
      <w:r w:rsidR="007C7CD4">
        <w:t xml:space="preserve"> institution. </w:t>
      </w:r>
    </w:p>
    <w:p w14:paraId="5F646523" w14:textId="00303DB1" w:rsidR="00BD6A6F" w:rsidRDefault="00AA2027" w:rsidP="00BD6A6F">
      <w:pPr>
        <w:pStyle w:val="Heading2"/>
        <w:numPr>
          <w:ilvl w:val="0"/>
          <w:numId w:val="2"/>
        </w:numPr>
        <w:spacing w:after="240"/>
      </w:pPr>
      <w:r>
        <w:lastRenderedPageBreak/>
        <w:t>Conclusions</w:t>
      </w:r>
    </w:p>
    <w:p w14:paraId="43BE1CCE" w14:textId="751D2C72" w:rsidR="0090331B" w:rsidRPr="006849F8" w:rsidRDefault="00BD6A6F" w:rsidP="0090331B">
      <w:pPr>
        <w:spacing w:line="360" w:lineRule="auto"/>
        <w:jc w:val="both"/>
        <w:rPr>
          <w:i/>
          <w:iCs/>
        </w:rPr>
      </w:pPr>
      <w:r>
        <w:t xml:space="preserve">This chapter focused on the most common and flexible way to access Swedish microdata to do research in economics and other social sciences, which is via approved SCB projects. Overall, Sweden, like other Nordic countries, is at the forefront of providing administrative data for research purposes and can provide a useful benchmark for other European countries. The chapter concludes with a discussion of the following </w:t>
      </w:r>
      <w:r w:rsidR="0090331B">
        <w:t>polic</w:t>
      </w:r>
      <w:r w:rsidR="004C4543">
        <w:t>y</w:t>
      </w:r>
      <w:r w:rsidR="0090331B">
        <w:t xml:space="preserve">-relevant </w:t>
      </w:r>
      <w:r>
        <w:t>questions</w:t>
      </w:r>
      <w:r w:rsidR="0090331B">
        <w:t>:</w:t>
      </w:r>
      <w:r w:rsidR="0090331B" w:rsidRPr="00184B0A">
        <w:rPr>
          <w:i/>
          <w:iCs/>
        </w:rPr>
        <w:t xml:space="preserve"> </w:t>
      </w:r>
      <w:r w:rsidR="0090331B">
        <w:rPr>
          <w:i/>
          <w:iCs/>
        </w:rPr>
        <w:t>c</w:t>
      </w:r>
      <w:r w:rsidR="0090331B" w:rsidRPr="00184B0A">
        <w:rPr>
          <w:i/>
          <w:iCs/>
        </w:rPr>
        <w:t xml:space="preserve">an the </w:t>
      </w:r>
      <w:r w:rsidR="0090331B">
        <w:rPr>
          <w:i/>
          <w:iCs/>
        </w:rPr>
        <w:t>Swedish</w:t>
      </w:r>
      <w:r w:rsidR="0090331B" w:rsidRPr="00184B0A">
        <w:rPr>
          <w:i/>
          <w:iCs/>
        </w:rPr>
        <w:t xml:space="preserve"> case be an example for other countries interested in </w:t>
      </w:r>
      <w:r w:rsidR="004C4543">
        <w:rPr>
          <w:i/>
          <w:iCs/>
        </w:rPr>
        <w:t>providing</w:t>
      </w:r>
      <w:r w:rsidR="0090331B" w:rsidRPr="00184B0A">
        <w:rPr>
          <w:i/>
          <w:iCs/>
        </w:rPr>
        <w:t xml:space="preserve"> access to administrative data?</w:t>
      </w:r>
      <w:r w:rsidR="0090331B">
        <w:rPr>
          <w:i/>
          <w:iCs/>
        </w:rPr>
        <w:t xml:space="preserve"> </w:t>
      </w:r>
      <w:r w:rsidR="003B1B80">
        <w:rPr>
          <w:i/>
          <w:iCs/>
        </w:rPr>
        <w:t>If so, w</w:t>
      </w:r>
      <w:r w:rsidR="0090331B" w:rsidRPr="006849F8">
        <w:rPr>
          <w:i/>
          <w:iCs/>
        </w:rPr>
        <w:t xml:space="preserve">hat can policy makers do to make </w:t>
      </w:r>
      <w:r w:rsidR="0014148A">
        <w:rPr>
          <w:i/>
          <w:iCs/>
        </w:rPr>
        <w:t>data access</w:t>
      </w:r>
      <w:r w:rsidR="003B1B80">
        <w:rPr>
          <w:i/>
          <w:iCs/>
        </w:rPr>
        <w:t xml:space="preserve"> possible</w:t>
      </w:r>
      <w:r w:rsidR="0090331B" w:rsidRPr="006849F8">
        <w:rPr>
          <w:i/>
          <w:iCs/>
        </w:rPr>
        <w:t xml:space="preserve">? </w:t>
      </w:r>
    </w:p>
    <w:p w14:paraId="20FA428C" w14:textId="617CA016" w:rsidR="00EB7BED" w:rsidRDefault="005C5B68" w:rsidP="00431745">
      <w:pPr>
        <w:spacing w:line="360" w:lineRule="auto"/>
        <w:jc w:val="both"/>
      </w:pPr>
      <w:r>
        <w:t xml:space="preserve">As also highlighted in the chapter of this book covering the Finnish case, this discussion is inherently tied to the rules governing data protection. As it is evident by comparing across the chapters of this book, the way the GDPR is interpreted varies sometimes considerably across countries. </w:t>
      </w:r>
      <w:r w:rsidR="008E2EA9">
        <w:t>Sweden and the other Nordic countries’ interpretation of the GDPR can be considered being on one extreme, with comprehensive individual-level data from administrative registers being readily accessible. On the other end, other</w:t>
      </w:r>
      <w:r>
        <w:t xml:space="preserve"> countries justify the impossibility of releasing and linking administrative data for research purposes based on </w:t>
      </w:r>
      <w:r w:rsidR="008E2EA9">
        <w:t>the interpretation of the</w:t>
      </w:r>
      <w:r>
        <w:t xml:space="preserve"> GDPR itself. This is understandable since it is not obvious where to set the bar when balancing the need of privacy and of data protection against the fact that </w:t>
      </w:r>
      <w:r w:rsidR="00EB7BED">
        <w:t xml:space="preserve">evidence-based research </w:t>
      </w:r>
      <w:r w:rsidR="008E2EA9">
        <w:t>that uses</w:t>
      </w:r>
      <w:r w:rsidR="00EB7BED">
        <w:t xml:space="preserve"> administrative data is a public good.</w:t>
      </w:r>
      <w:r>
        <w:t xml:space="preserve"> </w:t>
      </w:r>
    </w:p>
    <w:p w14:paraId="423CD86F" w14:textId="267CF66A" w:rsidR="001326BC" w:rsidRDefault="00EB7BED" w:rsidP="001326BC">
      <w:pPr>
        <w:spacing w:line="360" w:lineRule="auto"/>
        <w:jc w:val="both"/>
      </w:pPr>
      <w:r>
        <w:t>T</w:t>
      </w:r>
      <w:r w:rsidR="005909BD">
        <w:t xml:space="preserve">he </w:t>
      </w:r>
      <w:r w:rsidR="00E00CD5">
        <w:t>Swedish</w:t>
      </w:r>
      <w:r w:rsidR="005909BD">
        <w:t xml:space="preserve"> case shows </w:t>
      </w:r>
      <w:r w:rsidR="00E00CD5">
        <w:t xml:space="preserve">an example of how </w:t>
      </w:r>
      <w:r w:rsidR="005909BD">
        <w:t>the balance between tasks of public interest and data protection can be achieved in agreement with National and EU laws</w:t>
      </w:r>
      <w:r w:rsidR="00E00CD5">
        <w:t xml:space="preserve">, while allowing researchers to flexibly work with extremely detailed individual-level information on the whole population. To reach this goal, </w:t>
      </w:r>
      <w:r w:rsidR="002B07C7">
        <w:t>clear prerequisite</w:t>
      </w:r>
      <w:r w:rsidR="0030756D">
        <w:t>s</w:t>
      </w:r>
      <w:r w:rsidR="002B07C7">
        <w:t xml:space="preserve"> </w:t>
      </w:r>
      <w:r w:rsidR="0030756D">
        <w:t>are</w:t>
      </w:r>
      <w:r w:rsidR="00351FBF">
        <w:t xml:space="preserve"> </w:t>
      </w:r>
      <w:r w:rsidR="0030756D">
        <w:t xml:space="preserve">both </w:t>
      </w:r>
      <w:r w:rsidR="00E00CD5">
        <w:t xml:space="preserve">a substantial amount of trust in institutions and an understanding that high-quality microdata can really be useful, if not </w:t>
      </w:r>
      <w:r w:rsidR="00106E8D">
        <w:t>fully</w:t>
      </w:r>
      <w:r w:rsidR="00E00CD5">
        <w:t xml:space="preserve"> necessary, to evaluate public policies and more generally to </w:t>
      </w:r>
      <w:r w:rsidR="002A6BC4">
        <w:t xml:space="preserve">keep </w:t>
      </w:r>
      <w:r w:rsidR="00E00CD5">
        <w:t>buil</w:t>
      </w:r>
      <w:r w:rsidR="002A6BC4">
        <w:t>ding</w:t>
      </w:r>
      <w:r w:rsidR="00E00CD5">
        <w:t xml:space="preserve"> public trust in the institution</w:t>
      </w:r>
      <w:r w:rsidR="002A6BC4">
        <w:t>s</w:t>
      </w:r>
      <w:r w:rsidR="00E00CD5">
        <w:t xml:space="preserve"> via accountability.</w:t>
      </w:r>
      <w:r w:rsidR="005F59C3">
        <w:t xml:space="preserve"> </w:t>
      </w:r>
      <w:r w:rsidR="0030756D">
        <w:t xml:space="preserve">As for other Nordic countries, these prerequisites were gradually built over time. </w:t>
      </w:r>
      <w:r w:rsidR="001326BC">
        <w:t>Therefore, i</w:t>
      </w:r>
      <w:r w:rsidR="008E2EA9">
        <w:t>f p</w:t>
      </w:r>
      <w:r w:rsidR="0030756D">
        <w:t xml:space="preserve">olicy makers in other countries </w:t>
      </w:r>
      <w:r w:rsidR="008E2EA9">
        <w:t xml:space="preserve">are </w:t>
      </w:r>
      <w:r w:rsidR="0030756D">
        <w:t xml:space="preserve">interested in taking inspiration from the Swedish </w:t>
      </w:r>
      <w:r w:rsidR="008E2EA9">
        <w:t xml:space="preserve">experience, they should </w:t>
      </w:r>
      <w:r w:rsidR="001326BC">
        <w:t>consider importing the Swedish model in a stepwise fashion.</w:t>
      </w:r>
    </w:p>
    <w:p w14:paraId="78C80BCB" w14:textId="12A4971A" w:rsidR="0030756D" w:rsidRDefault="001326BC" w:rsidP="00431745">
      <w:pPr>
        <w:spacing w:line="360" w:lineRule="auto"/>
        <w:jc w:val="both"/>
      </w:pPr>
      <w:r>
        <w:t xml:space="preserve">Finally, Swedish policy makers should be aware that, </w:t>
      </w:r>
      <w:r w:rsidR="00287A17">
        <w:t xml:space="preserve">even though </w:t>
      </w:r>
      <w:r>
        <w:t>this chapter describes a well-functioning system, there is an inherent trade-off between the benefit of having a fully centralized system and the substantial lack of competition in data provi</w:t>
      </w:r>
      <w:r w:rsidR="00287A17">
        <w:t>sion</w:t>
      </w:r>
      <w:r w:rsidR="00DF15D9">
        <w:t>. The latter</w:t>
      </w:r>
      <w:r w:rsidR="0039699A">
        <w:t xml:space="preserve"> aspect</w:t>
      </w:r>
      <w:r w:rsidR="00DF15D9">
        <w:t xml:space="preserve"> </w:t>
      </w:r>
      <w:r>
        <w:t>could result in increase in prices</w:t>
      </w:r>
      <w:r w:rsidR="00287A17">
        <w:t>, which might have implications for the equality of access and the type of research being done</w:t>
      </w:r>
      <w:r>
        <w:t xml:space="preserve">. </w:t>
      </w:r>
    </w:p>
    <w:p w14:paraId="5D8FC71B" w14:textId="77777777" w:rsidR="00BE1A50" w:rsidRPr="00525990" w:rsidRDefault="00BE1A50" w:rsidP="00BD6A6F">
      <w:pPr>
        <w:pStyle w:val="Heading2"/>
        <w:numPr>
          <w:ilvl w:val="0"/>
          <w:numId w:val="2"/>
        </w:numPr>
        <w:spacing w:after="240"/>
      </w:pPr>
      <w:r>
        <w:t>Contacts, useful links, and relevant legislation</w:t>
      </w:r>
    </w:p>
    <w:p w14:paraId="6FD63B0F" w14:textId="77777777" w:rsidR="00BE1A50" w:rsidRDefault="00BE1A50" w:rsidP="00BE1A50">
      <w:r>
        <w:t xml:space="preserve">Microdata page and research catalogue: </w:t>
      </w:r>
    </w:p>
    <w:p w14:paraId="08A4B001" w14:textId="77777777" w:rsidR="00BE1A50" w:rsidRDefault="00000000" w:rsidP="00BE1A50">
      <w:hyperlink r:id="rId8" w:history="1">
        <w:r w:rsidR="00BE1A50" w:rsidRPr="00F3570E">
          <w:rPr>
            <w:rStyle w:val="Hyperlink"/>
          </w:rPr>
          <w:t>https://www.scb.se/en/services/ordering-data-and-statistics/microdata/</w:t>
        </w:r>
      </w:hyperlink>
      <w:r w:rsidR="00BE1A50">
        <w:t xml:space="preserve"> </w:t>
      </w:r>
    </w:p>
    <w:p w14:paraId="3100CC17" w14:textId="77777777" w:rsidR="00BE1A50" w:rsidRDefault="00000000" w:rsidP="00BE1A50">
      <w:hyperlink r:id="rId9" w:history="1">
        <w:r w:rsidR="00BE1A50" w:rsidRPr="00F3570E">
          <w:rPr>
            <w:rStyle w:val="Hyperlink"/>
          </w:rPr>
          <w:t>https://www.scb.se/vara-tjanster/bestall-data-och-statistik/register/</w:t>
        </w:r>
      </w:hyperlink>
      <w:r w:rsidR="00BE1A50">
        <w:t xml:space="preserve"> </w:t>
      </w:r>
    </w:p>
    <w:p w14:paraId="06A24AE7" w14:textId="77777777" w:rsidR="00BE1A50" w:rsidRDefault="00BE1A50" w:rsidP="00BE1A50">
      <w:r>
        <w:t>Prior to ordering data and how to order data:</w:t>
      </w:r>
    </w:p>
    <w:p w14:paraId="1B202A68" w14:textId="77777777" w:rsidR="00BE1A50" w:rsidRDefault="00000000" w:rsidP="00BE1A50">
      <w:hyperlink r:id="rId10" w:history="1">
        <w:r w:rsidR="00BE1A50" w:rsidRPr="00F3570E">
          <w:rPr>
            <w:rStyle w:val="Hyperlink"/>
          </w:rPr>
          <w:t>https://www.scb.se/vara-tjanster/bestall-data-och-statistik/mikrodata/infor-din-bestallning/</w:t>
        </w:r>
      </w:hyperlink>
      <w:r w:rsidR="00BE1A50">
        <w:t xml:space="preserve"> </w:t>
      </w:r>
    </w:p>
    <w:p w14:paraId="3C078AE2" w14:textId="77777777" w:rsidR="00BE1A50" w:rsidRDefault="00000000" w:rsidP="00BE1A50">
      <w:hyperlink r:id="rId11" w:history="1">
        <w:r w:rsidR="00BE1A50" w:rsidRPr="00F3570E">
          <w:rPr>
            <w:rStyle w:val="Hyperlink"/>
          </w:rPr>
          <w:t>https://www.scb.se/vara-tjanster/bestall-data-och-statistik/mikrodata/bestalla-mikrodata/</w:t>
        </w:r>
      </w:hyperlink>
      <w:r w:rsidR="00BE1A50">
        <w:t xml:space="preserve"> </w:t>
      </w:r>
    </w:p>
    <w:p w14:paraId="0867D54C" w14:textId="77777777" w:rsidR="00BE1A50" w:rsidRDefault="00BE1A50" w:rsidP="00BE1A50">
      <w:r>
        <w:t>Ethical review and sensitive personal data:</w:t>
      </w:r>
    </w:p>
    <w:p w14:paraId="126E8C3E" w14:textId="77777777" w:rsidR="00BE1A50" w:rsidRDefault="00000000" w:rsidP="00BE1A50">
      <w:hyperlink r:id="rId12" w:history="1">
        <w:r w:rsidR="00BE1A50" w:rsidRPr="00F3570E">
          <w:rPr>
            <w:rStyle w:val="Hyperlink"/>
          </w:rPr>
          <w:t>https://www.scb.se/vara-tjanster/bestall-data-och-statistik/mikrodata/infor-din-bestallning/vad-tittar-scb-efter-i-etikansokan/</w:t>
        </w:r>
      </w:hyperlink>
      <w:r w:rsidR="00BE1A50">
        <w:t xml:space="preserve"> </w:t>
      </w:r>
    </w:p>
    <w:p w14:paraId="3606F2E0" w14:textId="77777777" w:rsidR="00BE1A50" w:rsidRDefault="00000000" w:rsidP="00BE1A50">
      <w:hyperlink r:id="rId13" w:history="1">
        <w:r w:rsidR="00BE1A50" w:rsidRPr="00F3570E">
          <w:rPr>
            <w:rStyle w:val="Hyperlink"/>
          </w:rPr>
          <w:t>https://www.imy.se/privatperson/dataskydd/introduktion-till-gdpr/vad-ar-personuppgifter/kansliga-personuppgifter/</w:t>
        </w:r>
      </w:hyperlink>
      <w:r w:rsidR="00BE1A50">
        <w:t xml:space="preserve"> </w:t>
      </w:r>
    </w:p>
    <w:p w14:paraId="43A058BC" w14:textId="77777777" w:rsidR="00BE1A50" w:rsidRDefault="00000000" w:rsidP="00BE1A50">
      <w:hyperlink r:id="rId14" w:history="1">
        <w:r w:rsidR="00BE1A50" w:rsidRPr="00F3570E">
          <w:rPr>
            <w:rStyle w:val="Hyperlink"/>
          </w:rPr>
          <w:t>https://etikprovningsmyndigheten.se/en/</w:t>
        </w:r>
      </w:hyperlink>
      <w:r w:rsidR="00BE1A50">
        <w:t xml:space="preserve"> </w:t>
      </w:r>
    </w:p>
    <w:p w14:paraId="7F8223F0" w14:textId="74EC6572" w:rsidR="007D3984" w:rsidRDefault="007D3984" w:rsidP="00BE1A50">
      <w:r w:rsidRPr="007D3984">
        <w:t>Public Access to Information and Secrecy Act</w:t>
      </w:r>
      <w:r>
        <w:t xml:space="preserve"> </w:t>
      </w:r>
    </w:p>
    <w:p w14:paraId="192EC63D" w14:textId="7480982E" w:rsidR="007D3984" w:rsidRDefault="00000000" w:rsidP="00BE1A50">
      <w:hyperlink r:id="rId15" w:history="1">
        <w:r w:rsidR="007D3984" w:rsidRPr="00A42D2A">
          <w:rPr>
            <w:rStyle w:val="Hyperlink"/>
          </w:rPr>
          <w:t>https://www.slu.se/globalassets/mw/stod-serv/juridik/public-access-to-information-and-secrecy-act-folder.pdf</w:t>
        </w:r>
      </w:hyperlink>
      <w:r w:rsidR="007D3984">
        <w:t xml:space="preserve"> </w:t>
      </w:r>
    </w:p>
    <w:p w14:paraId="79790A92" w14:textId="77777777" w:rsidR="00BE1A50" w:rsidRDefault="00BE1A50" w:rsidP="00BE1A50">
      <w:r>
        <w:t>Confidentiality review for the disclosure of register data:</w:t>
      </w:r>
    </w:p>
    <w:p w14:paraId="339780EB" w14:textId="77777777" w:rsidR="00BE1A50" w:rsidRDefault="00000000" w:rsidP="00BE1A50">
      <w:hyperlink r:id="rId16" w:history="1">
        <w:r w:rsidR="00BE1A50" w:rsidRPr="00F3570E">
          <w:rPr>
            <w:rStyle w:val="Hyperlink"/>
          </w:rPr>
          <w:t>https://www.scb.se/vara-tjanster/bestall-data-och-statistik/mikrodata/infor-din-bestallning/sekretessprovning/</w:t>
        </w:r>
      </w:hyperlink>
      <w:r w:rsidR="00BE1A50">
        <w:t xml:space="preserve"> </w:t>
      </w:r>
    </w:p>
    <w:p w14:paraId="56399734" w14:textId="77777777" w:rsidR="00BE1A50" w:rsidRDefault="00BE1A50" w:rsidP="00BE1A50">
      <w:r>
        <w:t>MONA remote access details, regulations, and user guide:</w:t>
      </w:r>
    </w:p>
    <w:p w14:paraId="7A6A8BF1" w14:textId="77777777" w:rsidR="00BE1A50" w:rsidRDefault="00000000" w:rsidP="00BE1A50">
      <w:hyperlink r:id="rId17" w:history="1">
        <w:r w:rsidR="00BE1A50" w:rsidRPr="00F3570E">
          <w:rPr>
            <w:rStyle w:val="Hyperlink"/>
          </w:rPr>
          <w:t>https://www.scb.se/contentassets/36c49273ef8d4db8a0e2e240510a9a0f/handledning_eng_20231025.pdf</w:t>
        </w:r>
      </w:hyperlink>
      <w:r w:rsidR="00BE1A50">
        <w:t xml:space="preserve"> </w:t>
      </w:r>
    </w:p>
    <w:p w14:paraId="64878586" w14:textId="77777777" w:rsidR="00BE1A50" w:rsidRDefault="00000000" w:rsidP="00BE1A50">
      <w:hyperlink r:id="rId18" w:history="1">
        <w:r w:rsidR="00BE1A50" w:rsidRPr="00CE5306">
          <w:rPr>
            <w:rStyle w:val="Hyperlink"/>
          </w:rPr>
          <w:t>https://www.scb.se/en/services/ordering-data-and-statistics/microdata/mona--statistics-swedens-platform-for-access-to-microdata/rules-and-regulations/terms-of-use/</w:t>
        </w:r>
      </w:hyperlink>
      <w:r w:rsidR="00BE1A50">
        <w:t xml:space="preserve"> </w:t>
      </w:r>
    </w:p>
    <w:p w14:paraId="3E1A51F4" w14:textId="77777777" w:rsidR="00BE1A50" w:rsidRDefault="00000000" w:rsidP="00BE1A50">
      <w:hyperlink r:id="rId19" w:history="1">
        <w:r w:rsidR="00BE1A50" w:rsidRPr="00F3570E">
          <w:rPr>
            <w:rStyle w:val="Hyperlink"/>
          </w:rPr>
          <w:t>https://www.scb.se/en/services/ordering-data-and-statistics/microdata/mona--statistics-swedens-platform-for-access-to-microdata/rules-and-regulations/</w:t>
        </w:r>
      </w:hyperlink>
      <w:r w:rsidR="00BE1A50">
        <w:t xml:space="preserve"> </w:t>
      </w:r>
    </w:p>
    <w:p w14:paraId="12C6C32D" w14:textId="77777777" w:rsidR="00BE1A50" w:rsidRPr="00EB5D26" w:rsidRDefault="00000000" w:rsidP="00BE1A50">
      <w:hyperlink r:id="rId20" w:history="1">
        <w:r w:rsidR="00BE1A50" w:rsidRPr="00EB5D26">
          <w:rPr>
            <w:rStyle w:val="Hyperlink"/>
          </w:rPr>
          <w:t>https://www.scb.se/contentassets/36c49273ef8d4db8a0e2e240510a9a0f/handledning_eng_20231025.pdf</w:t>
        </w:r>
      </w:hyperlink>
      <w:r w:rsidR="00BE1A50" w:rsidRPr="00EB5D26">
        <w:t xml:space="preserve"> </w:t>
      </w:r>
    </w:p>
    <w:p w14:paraId="6E3A5E66" w14:textId="77777777" w:rsidR="00BE1A50" w:rsidRDefault="00BE1A50" w:rsidP="00BE1A50">
      <w:pPr>
        <w:spacing w:after="0" w:line="360" w:lineRule="auto"/>
        <w:jc w:val="both"/>
      </w:pPr>
      <w:r>
        <w:t>Exporting aggregated data and disclosure control</w:t>
      </w:r>
      <w:r>
        <w:tab/>
        <w:t>:</w:t>
      </w:r>
    </w:p>
    <w:p w14:paraId="50447314" w14:textId="77777777" w:rsidR="00BE1A50" w:rsidRDefault="00000000" w:rsidP="00BE1A50">
      <w:pPr>
        <w:spacing w:line="360" w:lineRule="auto"/>
        <w:jc w:val="both"/>
      </w:pPr>
      <w:hyperlink r:id="rId21" w:history="1">
        <w:r w:rsidR="00BE1A50" w:rsidRPr="00CE5306">
          <w:rPr>
            <w:rStyle w:val="Hyperlink"/>
          </w:rPr>
          <w:t>https://www.scb.se/hitta-statistik/artiklar/2017/Rojandekontroll--viktig-for-statistikens-kvalitet/</w:t>
        </w:r>
      </w:hyperlink>
      <w:r w:rsidR="00BE1A50">
        <w:t xml:space="preserve">  </w:t>
      </w:r>
    </w:p>
    <w:p w14:paraId="6CFFA233" w14:textId="77777777" w:rsidR="00BE1A50" w:rsidRDefault="00000000" w:rsidP="00BE1A50">
      <w:pPr>
        <w:spacing w:line="360" w:lineRule="auto"/>
        <w:jc w:val="both"/>
      </w:pPr>
      <w:hyperlink r:id="rId22" w:history="1">
        <w:r w:rsidR="00BE1A50" w:rsidRPr="00CE5306">
          <w:rPr>
            <w:rStyle w:val="Hyperlink"/>
          </w:rPr>
          <w:t>https://www.scb.se/contentassets/0cd92207266d40eb8829244d51d90b94/handbok-i-statistisk-rojandekontroll.pdf</w:t>
        </w:r>
      </w:hyperlink>
      <w:r w:rsidR="00BE1A50">
        <w:t xml:space="preserve"> </w:t>
      </w:r>
    </w:p>
    <w:p w14:paraId="45E7FE6C" w14:textId="22403E92" w:rsidR="003C68AB" w:rsidRDefault="00BE1A50" w:rsidP="00A230E8">
      <w:pPr>
        <w:spacing w:line="360" w:lineRule="auto"/>
        <w:jc w:val="both"/>
      </w:pPr>
      <w:r>
        <w:t>SCB contact for questions</w:t>
      </w:r>
      <w:r w:rsidRPr="00525990">
        <w:t xml:space="preserve"> concerning research data:</w:t>
      </w:r>
      <w:r>
        <w:t xml:space="preserve"> </w:t>
      </w:r>
      <w:hyperlink r:id="rId23" w:history="1">
        <w:r w:rsidRPr="003D00B9">
          <w:rPr>
            <w:rStyle w:val="Hyperlink"/>
          </w:rPr>
          <w:t>mikrodata@scb.se</w:t>
        </w:r>
      </w:hyperlink>
    </w:p>
    <w:p w14:paraId="27DFCF90" w14:textId="08DB7EC3" w:rsidR="00A230E8" w:rsidRPr="00A230E8" w:rsidRDefault="00A230E8" w:rsidP="00BD6A6F">
      <w:pPr>
        <w:pStyle w:val="Heading2"/>
        <w:numPr>
          <w:ilvl w:val="0"/>
          <w:numId w:val="2"/>
        </w:numPr>
        <w:spacing w:after="240"/>
      </w:pPr>
      <w:r>
        <w:t xml:space="preserve">References  </w:t>
      </w:r>
    </w:p>
    <w:p w14:paraId="012C3FD0" w14:textId="4301672C" w:rsidR="00A230E8" w:rsidRPr="00BD4183" w:rsidRDefault="00A230E8" w:rsidP="00A230E8">
      <w:pPr>
        <w:rPr>
          <w:rFonts w:cstheme="minorHAnsi"/>
        </w:rPr>
      </w:pPr>
      <w:r w:rsidRPr="00BD4183">
        <w:rPr>
          <w:rFonts w:cstheme="minorHAnsi"/>
          <w:color w:val="222222"/>
          <w:shd w:val="clear" w:color="auto" w:fill="FFFFFF"/>
        </w:rPr>
        <w:t>Adermon, Adrian, Mikael Lindahl, and Mårten Palme. "Dynastic human capital, inequality, and intergenerational mobility." </w:t>
      </w:r>
      <w:r w:rsidRPr="00BD4183">
        <w:rPr>
          <w:rFonts w:cstheme="minorHAnsi"/>
          <w:i/>
          <w:iCs/>
          <w:color w:val="222222"/>
          <w:shd w:val="clear" w:color="auto" w:fill="FFFFFF"/>
        </w:rPr>
        <w:t>American Economic Review</w:t>
      </w:r>
      <w:r w:rsidRPr="00BD4183">
        <w:rPr>
          <w:rFonts w:cstheme="minorHAnsi"/>
          <w:color w:val="222222"/>
          <w:shd w:val="clear" w:color="auto" w:fill="FFFFFF"/>
        </w:rPr>
        <w:t> 111.5 (2021): 1523-1548.</w:t>
      </w:r>
    </w:p>
    <w:p w14:paraId="1998C7F6" w14:textId="77777777" w:rsidR="00A230E8" w:rsidRPr="00BD4183" w:rsidRDefault="00A230E8" w:rsidP="00A230E8">
      <w:pPr>
        <w:rPr>
          <w:rFonts w:cstheme="minorHAnsi"/>
          <w:lang w:val="it-IT"/>
        </w:rPr>
      </w:pPr>
      <w:r w:rsidRPr="00BD4183">
        <w:rPr>
          <w:rFonts w:cstheme="minorHAnsi"/>
          <w:color w:val="222222"/>
          <w:shd w:val="clear" w:color="auto" w:fill="FFFFFF"/>
        </w:rPr>
        <w:t>Åslund, O., Bratu, C., Lombardi, S., &amp; Thoresson, A. (2023). </w:t>
      </w:r>
      <w:r w:rsidRPr="00BD4183">
        <w:rPr>
          <w:rFonts w:cstheme="minorHAnsi"/>
          <w:i/>
          <w:iCs/>
          <w:color w:val="222222"/>
          <w:shd w:val="clear" w:color="auto" w:fill="FFFFFF"/>
        </w:rPr>
        <w:t>Firm productivity and immigrant-native earnings disparities</w:t>
      </w:r>
      <w:r w:rsidRPr="00BD4183">
        <w:rPr>
          <w:rFonts w:cstheme="minorHAnsi"/>
          <w:color w:val="222222"/>
          <w:shd w:val="clear" w:color="auto" w:fill="FFFFFF"/>
        </w:rPr>
        <w:t xml:space="preserve"> (Vol. 14960). </w:t>
      </w:r>
      <w:r w:rsidRPr="00BD4183">
        <w:rPr>
          <w:rFonts w:cstheme="minorHAnsi"/>
          <w:color w:val="222222"/>
          <w:shd w:val="clear" w:color="auto" w:fill="FFFFFF"/>
          <w:lang w:val="it-IT"/>
        </w:rPr>
        <w:t>IZA Discussion Paper No.</w:t>
      </w:r>
      <w:r w:rsidRPr="00BD4183">
        <w:rPr>
          <w:rFonts w:cstheme="minorHAnsi"/>
          <w:lang w:val="it-IT"/>
        </w:rPr>
        <w:t xml:space="preserve"> </w:t>
      </w:r>
      <w:r w:rsidRPr="00BD4183">
        <w:rPr>
          <w:rFonts w:cstheme="minorHAnsi"/>
          <w:color w:val="222222"/>
          <w:shd w:val="clear" w:color="auto" w:fill="FFFFFF"/>
          <w:lang w:val="it-IT"/>
        </w:rPr>
        <w:t>14960</w:t>
      </w:r>
    </w:p>
    <w:p w14:paraId="153BE118" w14:textId="77777777" w:rsidR="00A230E8" w:rsidRPr="00BD4183" w:rsidRDefault="00A230E8" w:rsidP="00A230E8">
      <w:pPr>
        <w:rPr>
          <w:rFonts w:cstheme="minorHAnsi"/>
        </w:rPr>
      </w:pPr>
      <w:r w:rsidRPr="00BD4183">
        <w:rPr>
          <w:rFonts w:cstheme="minorHAnsi"/>
          <w:lang w:val="it-IT"/>
        </w:rPr>
        <w:lastRenderedPageBreak/>
        <w:t xml:space="preserve">Bertheau, A., Acabbi, E. M., Barceló, C., Gulyas, A., Lombardi, S., &amp; Saggio, R. (2023). </w:t>
      </w:r>
      <w:r w:rsidRPr="00BD4183">
        <w:rPr>
          <w:rFonts w:cstheme="minorHAnsi"/>
        </w:rPr>
        <w:t xml:space="preserve">The unequal consequences of job loss across countries. </w:t>
      </w:r>
      <w:r w:rsidRPr="00426D67">
        <w:rPr>
          <w:rFonts w:cstheme="minorHAnsi"/>
          <w:i/>
          <w:iCs/>
        </w:rPr>
        <w:t>American Economic Review: Insights</w:t>
      </w:r>
      <w:r w:rsidRPr="00BD4183">
        <w:rPr>
          <w:rFonts w:cstheme="minorHAnsi"/>
        </w:rPr>
        <w:t xml:space="preserve">, 5(3), 393-408. </w:t>
      </w:r>
    </w:p>
    <w:p w14:paraId="35370197" w14:textId="77777777" w:rsidR="00A230E8" w:rsidRPr="00BD4183" w:rsidRDefault="00A230E8" w:rsidP="00A230E8">
      <w:pPr>
        <w:rPr>
          <w:rFonts w:cstheme="minorHAnsi"/>
          <w:color w:val="222222"/>
          <w:shd w:val="clear" w:color="auto" w:fill="FFFFFF"/>
        </w:rPr>
      </w:pPr>
      <w:r w:rsidRPr="00BD4183">
        <w:rPr>
          <w:rFonts w:cstheme="minorHAnsi"/>
          <w:color w:val="222222"/>
          <w:shd w:val="clear" w:color="auto" w:fill="FFFFFF"/>
        </w:rPr>
        <w:t>Bratu, C., &amp; Bolotnyy, V. (2023). Immigrant intergenerational mobility: A focus on childhood environment. </w:t>
      </w:r>
      <w:r w:rsidRPr="00BD4183">
        <w:rPr>
          <w:rFonts w:cstheme="minorHAnsi"/>
          <w:i/>
          <w:iCs/>
          <w:color w:val="222222"/>
          <w:shd w:val="clear" w:color="auto" w:fill="FFFFFF"/>
        </w:rPr>
        <w:t>European Economic Review</w:t>
      </w:r>
      <w:r w:rsidRPr="00BD4183">
        <w:rPr>
          <w:rFonts w:cstheme="minorHAnsi"/>
          <w:color w:val="222222"/>
          <w:shd w:val="clear" w:color="auto" w:fill="FFFFFF"/>
        </w:rPr>
        <w:t>, </w:t>
      </w:r>
      <w:r w:rsidRPr="00BD4183">
        <w:rPr>
          <w:rFonts w:cstheme="minorHAnsi"/>
          <w:i/>
          <w:iCs/>
          <w:color w:val="222222"/>
          <w:shd w:val="clear" w:color="auto" w:fill="FFFFFF"/>
        </w:rPr>
        <w:t>151</w:t>
      </w:r>
      <w:r w:rsidRPr="00BD4183">
        <w:rPr>
          <w:rFonts w:cstheme="minorHAnsi"/>
          <w:color w:val="222222"/>
          <w:shd w:val="clear" w:color="auto" w:fill="FFFFFF"/>
        </w:rPr>
        <w:t>(C).</w:t>
      </w:r>
    </w:p>
    <w:p w14:paraId="1A44D1F7" w14:textId="77777777" w:rsidR="00A230E8" w:rsidRPr="00BD4183" w:rsidRDefault="00A230E8" w:rsidP="00A230E8">
      <w:pPr>
        <w:rPr>
          <w:rFonts w:cstheme="minorHAnsi"/>
        </w:rPr>
      </w:pPr>
      <w:r w:rsidRPr="00BD4183">
        <w:rPr>
          <w:rFonts w:cstheme="minorHAnsi"/>
          <w:color w:val="222222"/>
          <w:shd w:val="clear" w:color="auto" w:fill="FFFFFF"/>
        </w:rPr>
        <w:t>Bratu, C., Dahlberg, M., Engdahl, M., &amp; Nikolka, T. (2020). Spillover effects of stricter immigration policies. </w:t>
      </w:r>
      <w:r w:rsidRPr="00BD4183">
        <w:rPr>
          <w:rFonts w:cstheme="minorHAnsi"/>
          <w:i/>
          <w:iCs/>
          <w:color w:val="222222"/>
          <w:shd w:val="clear" w:color="auto" w:fill="FFFFFF"/>
        </w:rPr>
        <w:t>Journal of Public Economics</w:t>
      </w:r>
      <w:r w:rsidRPr="00BD4183">
        <w:rPr>
          <w:rFonts w:cstheme="minorHAnsi"/>
          <w:color w:val="222222"/>
          <w:shd w:val="clear" w:color="auto" w:fill="FFFFFF"/>
        </w:rPr>
        <w:t>, </w:t>
      </w:r>
      <w:r w:rsidRPr="00BD4183">
        <w:rPr>
          <w:rFonts w:cstheme="minorHAnsi"/>
          <w:i/>
          <w:iCs/>
          <w:color w:val="222222"/>
          <w:shd w:val="clear" w:color="auto" w:fill="FFFFFF"/>
        </w:rPr>
        <w:t>190</w:t>
      </w:r>
      <w:r w:rsidRPr="00BD4183">
        <w:rPr>
          <w:rFonts w:cstheme="minorHAnsi"/>
          <w:color w:val="222222"/>
          <w:shd w:val="clear" w:color="auto" w:fill="FFFFFF"/>
        </w:rPr>
        <w:t>, 104239.</w:t>
      </w:r>
    </w:p>
    <w:p w14:paraId="5D37B33A" w14:textId="77777777" w:rsidR="00A230E8" w:rsidRPr="00BD4183" w:rsidRDefault="00A230E8" w:rsidP="00A230E8">
      <w:pPr>
        <w:rPr>
          <w:rFonts w:cstheme="minorHAnsi"/>
        </w:rPr>
      </w:pPr>
      <w:r w:rsidRPr="00BD4183">
        <w:rPr>
          <w:rFonts w:cstheme="minorHAnsi"/>
          <w:color w:val="222222"/>
          <w:shd w:val="clear" w:color="auto" w:fill="FFFFFF"/>
        </w:rPr>
        <w:t>Fredriksson, Peter, and Björn Öckert. "Life‐cycle effects of age at school start." </w:t>
      </w:r>
      <w:r w:rsidRPr="00BD4183">
        <w:rPr>
          <w:rFonts w:cstheme="minorHAnsi"/>
          <w:i/>
          <w:iCs/>
          <w:color w:val="222222"/>
          <w:shd w:val="clear" w:color="auto" w:fill="FFFFFF"/>
        </w:rPr>
        <w:t>The Economic Journal</w:t>
      </w:r>
      <w:r w:rsidRPr="00BD4183">
        <w:rPr>
          <w:rFonts w:cstheme="minorHAnsi"/>
          <w:color w:val="222222"/>
          <w:shd w:val="clear" w:color="auto" w:fill="FFFFFF"/>
        </w:rPr>
        <w:t> 124.579 (2014): 977-1004.</w:t>
      </w:r>
    </w:p>
    <w:p w14:paraId="3CE3ACFF" w14:textId="77777777" w:rsidR="00A230E8" w:rsidRPr="00BD4183" w:rsidRDefault="00A230E8" w:rsidP="00A230E8">
      <w:pPr>
        <w:rPr>
          <w:rFonts w:cstheme="minorHAnsi"/>
        </w:rPr>
      </w:pPr>
      <w:r w:rsidRPr="00BD4183">
        <w:rPr>
          <w:rFonts w:cstheme="minorHAnsi"/>
          <w:color w:val="222222"/>
          <w:shd w:val="clear" w:color="auto" w:fill="FFFFFF"/>
        </w:rPr>
        <w:t>Fredriksson, Peter, Björn Öckert, and Hessel Oosterbeek. "Long-term effects of class size." </w:t>
      </w:r>
      <w:r w:rsidRPr="00BD4183">
        <w:rPr>
          <w:rFonts w:cstheme="minorHAnsi"/>
          <w:i/>
          <w:iCs/>
          <w:color w:val="222222"/>
          <w:shd w:val="clear" w:color="auto" w:fill="FFFFFF"/>
        </w:rPr>
        <w:t>The Quarterly journal of economics</w:t>
      </w:r>
      <w:r w:rsidRPr="00BD4183">
        <w:rPr>
          <w:rFonts w:cstheme="minorHAnsi"/>
          <w:color w:val="222222"/>
          <w:shd w:val="clear" w:color="auto" w:fill="FFFFFF"/>
        </w:rPr>
        <w:t> 128.1 (2013): 249-285.</w:t>
      </w:r>
    </w:p>
    <w:p w14:paraId="05708A9B" w14:textId="77777777" w:rsidR="00A230E8" w:rsidRPr="00BD4183" w:rsidRDefault="00A230E8" w:rsidP="00A230E8">
      <w:pPr>
        <w:rPr>
          <w:rFonts w:cstheme="minorHAnsi"/>
          <w:color w:val="222222"/>
          <w:shd w:val="clear" w:color="auto" w:fill="FFFFFF"/>
        </w:rPr>
      </w:pPr>
      <w:r w:rsidRPr="00BD4183">
        <w:rPr>
          <w:rFonts w:cstheme="minorHAnsi"/>
          <w:color w:val="222222"/>
          <w:shd w:val="clear" w:color="auto" w:fill="FFFFFF"/>
        </w:rPr>
        <w:t>Kramarz, Francis, and Oskar Nordström Skans. "When strong ties are strong: Networks and youth labour market entry." </w:t>
      </w:r>
      <w:r w:rsidRPr="00BD4183">
        <w:rPr>
          <w:rFonts w:cstheme="minorHAnsi"/>
          <w:i/>
          <w:iCs/>
          <w:color w:val="222222"/>
          <w:shd w:val="clear" w:color="auto" w:fill="FFFFFF"/>
        </w:rPr>
        <w:t>Review of Economic Studies</w:t>
      </w:r>
      <w:r w:rsidRPr="00BD4183">
        <w:rPr>
          <w:rFonts w:cstheme="minorHAnsi"/>
          <w:color w:val="222222"/>
          <w:shd w:val="clear" w:color="auto" w:fill="FFFFFF"/>
        </w:rPr>
        <w:t> 81.3 (2014): 1164-1200.</w:t>
      </w:r>
    </w:p>
    <w:p w14:paraId="4982193A" w14:textId="77777777" w:rsidR="00A230E8" w:rsidRPr="00BD4183" w:rsidRDefault="00A230E8" w:rsidP="00A230E8">
      <w:pPr>
        <w:rPr>
          <w:rFonts w:cstheme="minorHAnsi"/>
        </w:rPr>
      </w:pPr>
      <w:r w:rsidRPr="00BD4183">
        <w:rPr>
          <w:rFonts w:cstheme="minorHAnsi"/>
          <w:color w:val="222222"/>
          <w:shd w:val="clear" w:color="auto" w:fill="FFFFFF"/>
        </w:rPr>
        <w:t>Lombardi, Stefano. </w:t>
      </w:r>
      <w:r w:rsidRPr="00BD4183">
        <w:rPr>
          <w:rFonts w:cstheme="minorHAnsi"/>
          <w:i/>
          <w:iCs/>
          <w:color w:val="222222"/>
          <w:shd w:val="clear" w:color="auto" w:fill="FFFFFF"/>
        </w:rPr>
        <w:t>Threat effects of monitoring and unemployment insurance sanctions: evidence from two reforms</w:t>
      </w:r>
      <w:r w:rsidRPr="00BD4183">
        <w:rPr>
          <w:rFonts w:cstheme="minorHAnsi"/>
          <w:color w:val="222222"/>
          <w:shd w:val="clear" w:color="auto" w:fill="FFFFFF"/>
        </w:rPr>
        <w:t>. No. 2019: 22. Working Paper, 2019.</w:t>
      </w:r>
    </w:p>
    <w:p w14:paraId="1F0E9366" w14:textId="2FD6489F" w:rsidR="00A230E8" w:rsidRPr="00BD4183" w:rsidRDefault="00A230E8" w:rsidP="00A230E8">
      <w:pPr>
        <w:rPr>
          <w:rFonts w:cstheme="minorHAnsi"/>
        </w:rPr>
      </w:pPr>
      <w:r w:rsidRPr="00BD4183">
        <w:rPr>
          <w:rFonts w:cstheme="minorHAnsi"/>
          <w:color w:val="222222"/>
          <w:shd w:val="clear" w:color="auto" w:fill="FFFFFF"/>
        </w:rPr>
        <w:t>Lombardi, Stefano, Gerard J. van den Berg, and Johan Vikström</w:t>
      </w:r>
      <w:r w:rsidRPr="00BD4183">
        <w:rPr>
          <w:rFonts w:cstheme="minorHAnsi"/>
        </w:rPr>
        <w:t xml:space="preserve">, “Empirical Monte Carlo Evidence on Estimation of Timing-of-Events Models,” </w:t>
      </w:r>
      <w:r w:rsidRPr="005F49FE">
        <w:rPr>
          <w:rFonts w:cstheme="minorHAnsi"/>
          <w:i/>
          <w:iCs/>
        </w:rPr>
        <w:t>Econometric Reviews</w:t>
      </w:r>
      <w:r w:rsidRPr="00BD4183">
        <w:rPr>
          <w:rFonts w:cstheme="minorHAnsi"/>
        </w:rPr>
        <w:t xml:space="preserve"> </w:t>
      </w:r>
      <w:r w:rsidR="00DA05BC">
        <w:rPr>
          <w:rFonts w:cstheme="minorHAnsi"/>
        </w:rPr>
        <w:t xml:space="preserve">(2014) </w:t>
      </w:r>
      <w:r w:rsidRPr="00BD4183">
        <w:rPr>
          <w:rFonts w:cstheme="minorHAnsi"/>
        </w:rPr>
        <w:t xml:space="preserve">(forthcoming). </w:t>
      </w:r>
    </w:p>
    <w:p w14:paraId="0D3974EB" w14:textId="77777777" w:rsidR="00A230E8" w:rsidRPr="00BD4183" w:rsidRDefault="00A230E8" w:rsidP="00A230E8">
      <w:pPr>
        <w:rPr>
          <w:rFonts w:cstheme="minorHAnsi"/>
          <w:lang w:val="sv-SE"/>
        </w:rPr>
      </w:pPr>
      <w:r w:rsidRPr="00BD4183">
        <w:rPr>
          <w:rFonts w:cstheme="minorHAnsi"/>
          <w:color w:val="222222"/>
          <w:shd w:val="clear" w:color="auto" w:fill="FFFFFF"/>
          <w:lang w:val="sv-SE"/>
        </w:rPr>
        <w:t xml:space="preserve">Lombardi, Stefano, Oskar Nordström Skans, and Johan Vikström. </w:t>
      </w:r>
      <w:r w:rsidRPr="00BD4183">
        <w:rPr>
          <w:rFonts w:cstheme="minorHAnsi"/>
          <w:color w:val="222222"/>
          <w:shd w:val="clear" w:color="auto" w:fill="FFFFFF"/>
        </w:rPr>
        <w:t>"Targeted wage subsidies and firm performance." </w:t>
      </w:r>
      <w:r w:rsidRPr="00BD4183">
        <w:rPr>
          <w:rFonts w:cstheme="minorHAnsi"/>
          <w:i/>
          <w:iCs/>
          <w:color w:val="222222"/>
          <w:shd w:val="clear" w:color="auto" w:fill="FFFFFF"/>
          <w:lang w:val="sv-SE"/>
        </w:rPr>
        <w:t>Labour Economics</w:t>
      </w:r>
      <w:r w:rsidRPr="00BD4183">
        <w:rPr>
          <w:rFonts w:cstheme="minorHAnsi"/>
          <w:color w:val="222222"/>
          <w:shd w:val="clear" w:color="auto" w:fill="FFFFFF"/>
          <w:lang w:val="sv-SE"/>
        </w:rPr>
        <w:t> 53 (2018): 33-45.</w:t>
      </w:r>
      <w:r w:rsidRPr="00BD4183">
        <w:rPr>
          <w:rFonts w:cstheme="minorHAnsi"/>
          <w:lang w:val="sv-SE"/>
        </w:rPr>
        <w:t xml:space="preserve"> </w:t>
      </w:r>
    </w:p>
    <w:p w14:paraId="70470C12" w14:textId="77777777" w:rsidR="00A230E8" w:rsidRPr="00BD4183" w:rsidRDefault="00A230E8" w:rsidP="00A230E8">
      <w:pPr>
        <w:rPr>
          <w:rFonts w:cstheme="minorHAnsi"/>
        </w:rPr>
      </w:pPr>
      <w:r w:rsidRPr="00BD4183">
        <w:rPr>
          <w:rFonts w:cstheme="minorHAnsi"/>
          <w:color w:val="222222"/>
          <w:shd w:val="clear" w:color="auto" w:fill="FFFFFF"/>
          <w:lang w:val="sv-SE"/>
        </w:rPr>
        <w:t xml:space="preserve">Van den Berg, Gerard J., and Johan Vikström. </w:t>
      </w:r>
      <w:r w:rsidRPr="00BD4183">
        <w:rPr>
          <w:rFonts w:cstheme="minorHAnsi"/>
          <w:color w:val="222222"/>
          <w:shd w:val="clear" w:color="auto" w:fill="FFFFFF"/>
        </w:rPr>
        <w:t>"Monitoring job offer decisions, punishments, exit to work, and job quality." </w:t>
      </w:r>
      <w:r w:rsidRPr="00BD4183">
        <w:rPr>
          <w:rFonts w:cstheme="minorHAnsi"/>
          <w:i/>
          <w:iCs/>
          <w:color w:val="222222"/>
          <w:shd w:val="clear" w:color="auto" w:fill="FFFFFF"/>
        </w:rPr>
        <w:t>The Scandinavian journal of economics</w:t>
      </w:r>
      <w:r w:rsidRPr="00BD4183">
        <w:rPr>
          <w:rFonts w:cstheme="minorHAnsi"/>
          <w:color w:val="222222"/>
          <w:shd w:val="clear" w:color="auto" w:fill="FFFFFF"/>
        </w:rPr>
        <w:t> 116.2 (2014): 284-334.</w:t>
      </w:r>
    </w:p>
    <w:p w14:paraId="70A71149" w14:textId="77777777" w:rsidR="00A230E8" w:rsidRPr="00BD4183" w:rsidRDefault="00A230E8" w:rsidP="00A230E8">
      <w:pPr>
        <w:rPr>
          <w:rFonts w:cstheme="minorHAnsi"/>
        </w:rPr>
      </w:pPr>
      <w:r w:rsidRPr="00BD4183">
        <w:rPr>
          <w:rFonts w:cstheme="minorHAnsi"/>
          <w:color w:val="222222"/>
          <w:shd w:val="clear" w:color="auto" w:fill="FFFFFF"/>
        </w:rPr>
        <w:t>Van den Berg, Gerard J., and Johan Vikström. "Long‐Run Effects of Dynamically Assigned Treatments: A New Methodology and an Evaluation of Training Effects on Earnings." </w:t>
      </w:r>
      <w:r w:rsidRPr="00BD4183">
        <w:rPr>
          <w:rFonts w:cstheme="minorHAnsi"/>
          <w:i/>
          <w:iCs/>
          <w:color w:val="222222"/>
          <w:shd w:val="clear" w:color="auto" w:fill="FFFFFF"/>
        </w:rPr>
        <w:t>Econometrica</w:t>
      </w:r>
      <w:r w:rsidRPr="00BD4183">
        <w:rPr>
          <w:rFonts w:cstheme="minorHAnsi"/>
          <w:color w:val="222222"/>
          <w:shd w:val="clear" w:color="auto" w:fill="FFFFFF"/>
        </w:rPr>
        <w:t> 90.3 (2022): 1337-1354.</w:t>
      </w:r>
    </w:p>
    <w:p w14:paraId="0C1F3286" w14:textId="09135672" w:rsidR="00F0085E" w:rsidRPr="00D33795" w:rsidRDefault="00F0085E" w:rsidP="00F0085E">
      <w:pPr>
        <w:pStyle w:val="Heading2"/>
        <w:spacing w:after="240"/>
      </w:pPr>
      <w:r>
        <w:t>Short Biography</w:t>
      </w:r>
    </w:p>
    <w:p w14:paraId="37DBF3A8" w14:textId="79D492CC" w:rsidR="00F0085E" w:rsidRPr="00372825" w:rsidRDefault="00B62D14" w:rsidP="00B62D14">
      <w:pPr>
        <w:jc w:val="both"/>
      </w:pPr>
      <w:r w:rsidRPr="00D33795">
        <w:t>Stefano Lombardi is senior researcher at the VATT Institute for Economic Research (Helsinki). He received his PhD in economics at Uppsala University in 2019 while being affiliated with IFAU (Institute for Labor Market and Education Policy Evaluation). Previously, Stefano had earned a master's degree in economics from Bocconi University. He is affiliated with IFAU, IZA (Institute of Labor Economics), and UCLS (Uppsala Center for Labor Studies). Stefano's research interests are in applied labor and health economics, with particular focus on the evaluation of labor market policies, the study of the consequences of job loss, and the analysis of wage inequality. For his research, Stefano uses population-wide administrative registers from both Sweden and Finland</w:t>
      </w:r>
      <w:r>
        <w:t>. His research</w:t>
      </w:r>
      <w:r w:rsidRPr="00D33795">
        <w:t xml:space="preserve"> has been published in prestigious journals, such as the </w:t>
      </w:r>
      <w:r w:rsidRPr="00D33795">
        <w:rPr>
          <w:i/>
          <w:iCs/>
        </w:rPr>
        <w:t>American Economic Review: Insights</w:t>
      </w:r>
      <w:r w:rsidRPr="00D33795">
        <w:t xml:space="preserve">, </w:t>
      </w:r>
      <w:r w:rsidRPr="00D33795">
        <w:rPr>
          <w:i/>
          <w:iCs/>
        </w:rPr>
        <w:t>Nature Human Behavior</w:t>
      </w:r>
      <w:r w:rsidRPr="00D33795">
        <w:t xml:space="preserve">, and </w:t>
      </w:r>
      <w:r w:rsidRPr="00D33795">
        <w:rPr>
          <w:i/>
          <w:iCs/>
        </w:rPr>
        <w:t>PNAS</w:t>
      </w:r>
      <w:r w:rsidRPr="00D33795">
        <w:t>.</w:t>
      </w:r>
    </w:p>
    <w:sectPr w:rsidR="00F0085E" w:rsidRPr="00372825" w:rsidSect="00297CF1">
      <w:pgSz w:w="11906" w:h="16838"/>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0B62E" w14:textId="77777777" w:rsidR="00B67EDA" w:rsidRDefault="00B67EDA" w:rsidP="00E00DCD">
      <w:pPr>
        <w:spacing w:after="0" w:line="240" w:lineRule="auto"/>
      </w:pPr>
      <w:r>
        <w:separator/>
      </w:r>
    </w:p>
  </w:endnote>
  <w:endnote w:type="continuationSeparator" w:id="0">
    <w:p w14:paraId="13BF0EA9" w14:textId="77777777" w:rsidR="00B67EDA" w:rsidRDefault="00B67EDA" w:rsidP="00E00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B3625" w14:textId="77777777" w:rsidR="00B67EDA" w:rsidRDefault="00B67EDA" w:rsidP="00E00DCD">
      <w:pPr>
        <w:spacing w:after="0" w:line="240" w:lineRule="auto"/>
      </w:pPr>
      <w:r>
        <w:separator/>
      </w:r>
    </w:p>
  </w:footnote>
  <w:footnote w:type="continuationSeparator" w:id="0">
    <w:p w14:paraId="782940CB" w14:textId="77777777" w:rsidR="00B67EDA" w:rsidRDefault="00B67EDA" w:rsidP="00E00DCD">
      <w:pPr>
        <w:spacing w:after="0" w:line="240" w:lineRule="auto"/>
      </w:pPr>
      <w:r>
        <w:continuationSeparator/>
      </w:r>
    </w:p>
  </w:footnote>
  <w:footnote w:id="1">
    <w:p w14:paraId="5536B8BB" w14:textId="74730B53" w:rsidR="00E00DCD" w:rsidRPr="00E00DCD" w:rsidRDefault="00E00DCD">
      <w:pPr>
        <w:pStyle w:val="FootnoteText"/>
      </w:pPr>
      <w:r w:rsidRPr="00E00DCD">
        <w:rPr>
          <w:rStyle w:val="FootnoteReference"/>
        </w:rPr>
        <w:footnoteRef/>
      </w:r>
      <w:r w:rsidR="007209F5">
        <w:t xml:space="preserve"> SCB is a </w:t>
      </w:r>
      <w:r w:rsidR="007209F5" w:rsidRPr="007209F5">
        <w:t>Swedish state administrative authority which falls under the Ministry of Finance and is responsible for official statistics and other state statistics</w:t>
      </w:r>
      <w:r w:rsidR="007734E7">
        <w:t>.</w:t>
      </w:r>
    </w:p>
  </w:footnote>
  <w:footnote w:id="2">
    <w:p w14:paraId="44E02E67" w14:textId="3C304CE7" w:rsidR="0017471C" w:rsidRPr="0017471C" w:rsidRDefault="0017471C">
      <w:pPr>
        <w:pStyle w:val="FootnoteText"/>
      </w:pPr>
      <w:r>
        <w:rPr>
          <w:rStyle w:val="FootnoteReference"/>
        </w:rPr>
        <w:footnoteRef/>
      </w:r>
      <w:r>
        <w:t xml:space="preserve"> Many registers, such as old census data, have not been fully digitized yet. Depending on researchers’ time and resources, digitalization efforts can allow to further augment the available data.</w:t>
      </w:r>
    </w:p>
  </w:footnote>
  <w:footnote w:id="3">
    <w:p w14:paraId="3668478E" w14:textId="0B7E1911" w:rsidR="009C32D1" w:rsidRPr="009C32D1" w:rsidRDefault="009C32D1">
      <w:pPr>
        <w:pStyle w:val="FootnoteText"/>
      </w:pPr>
      <w:r>
        <w:rPr>
          <w:rStyle w:val="FootnoteReference"/>
        </w:rPr>
        <w:footnoteRef/>
      </w:r>
      <w:r>
        <w:t xml:space="preserve"> In the interest of space, the </w:t>
      </w:r>
      <w:r w:rsidR="00C62005">
        <w:t>focus</w:t>
      </w:r>
      <w:r>
        <w:t xml:space="preserve"> here is on administrative registers that cover the entire population or at least large representative sample of it. Additional survey-based resources are directly available at SCB.</w:t>
      </w:r>
    </w:p>
  </w:footnote>
  <w:footnote w:id="4">
    <w:p w14:paraId="3320764F" w14:textId="485A78FA" w:rsidR="00FD15D7" w:rsidRPr="00FD15D7" w:rsidRDefault="00FD15D7" w:rsidP="00FD15D7">
      <w:pPr>
        <w:pStyle w:val="FootnoteText"/>
        <w:jc w:val="both"/>
      </w:pPr>
      <w:r>
        <w:rPr>
          <w:rStyle w:val="FootnoteReference"/>
        </w:rPr>
        <w:footnoteRef/>
      </w:r>
      <w:r>
        <w:t xml:space="preserve"> Sensitive data are ethnic background, political opinions (for example political party affiliation), religious or philosophical beliefs, being membership of a trade union, health, a person's sex life or sexual orientation, genetic information, biometric data used to uniquely identify a person.</w:t>
      </w:r>
    </w:p>
  </w:footnote>
  <w:footnote w:id="5">
    <w:p w14:paraId="3683BC5D" w14:textId="2204ABC2" w:rsidR="005011FF" w:rsidRPr="005011FF" w:rsidRDefault="005011FF">
      <w:pPr>
        <w:pStyle w:val="FootnoteText"/>
      </w:pPr>
      <w:r>
        <w:rPr>
          <w:rStyle w:val="FootnoteReference"/>
        </w:rPr>
        <w:footnoteRef/>
      </w:r>
      <w:r>
        <w:t xml:space="preserve"> From the perspective of the researcher, t</w:t>
      </w:r>
      <w:r w:rsidRPr="005011FF">
        <w:t xml:space="preserve">he </w:t>
      </w:r>
      <w:r>
        <w:t>t</w:t>
      </w:r>
      <w:r w:rsidRPr="005011FF">
        <w:t xml:space="preserve">ime </w:t>
      </w:r>
      <w:r>
        <w:t>needed to open an SCB’s project can be considerably longer in case data permits from external data holders and/or an ethical approval for processing personal information are needed.</w:t>
      </w:r>
      <w:r w:rsidR="00F70C86">
        <w:t xml:space="preserve"> This is the case, for instance, when the researcher is interested in linking external health register data.</w:t>
      </w:r>
    </w:p>
  </w:footnote>
  <w:footnote w:id="6">
    <w:p w14:paraId="7419E7C8" w14:textId="0E4982E8" w:rsidR="00BF32D4" w:rsidRPr="00B70C16" w:rsidRDefault="00BF32D4">
      <w:pPr>
        <w:pStyle w:val="FootnoteText"/>
      </w:pPr>
      <w:r>
        <w:rPr>
          <w:rStyle w:val="FootnoteReference"/>
        </w:rPr>
        <w:footnoteRef/>
      </w:r>
      <w:r>
        <w:t xml:space="preserve"> </w:t>
      </w:r>
      <w:r w:rsidRPr="00B70C16">
        <w:t xml:space="preserve">See </w:t>
      </w:r>
      <w:r w:rsidR="00D168C0" w:rsidRPr="00B70C16">
        <w:t xml:space="preserve">here: </w:t>
      </w:r>
      <w:hyperlink r:id="rId1" w:history="1">
        <w:r w:rsidR="00AA2027" w:rsidRPr="00A42D2A">
          <w:rPr>
            <w:rStyle w:val="Hyperlink"/>
          </w:rPr>
          <w:t>https://www.scb.se/contentassets/0cd92207266d40eb8829244d51d90b94/handbok-i-statistisk-rojandekontroll.pdf</w:t>
        </w:r>
      </w:hyperlink>
      <w:r w:rsidRPr="00B70C16">
        <w:t>.</w:t>
      </w:r>
      <w:r w:rsidR="00AA2027">
        <w:t xml:space="preserve"> </w:t>
      </w:r>
      <w:r w:rsidRPr="00B70C16">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30EBF"/>
    <w:multiLevelType w:val="multilevel"/>
    <w:tmpl w:val="1DF6C1E2"/>
    <w:lvl w:ilvl="0">
      <w:start w:val="1"/>
      <w:numFmt w:val="decimal"/>
      <w:lvlText w:val="%1."/>
      <w:lvlJc w:val="left"/>
      <w:pPr>
        <w:ind w:left="720" w:hanging="360"/>
      </w:pPr>
      <w:rPr>
        <w:rFonts w:hint="default"/>
      </w:rPr>
    </w:lvl>
    <w:lvl w:ilvl="1">
      <w:start w:val="1"/>
      <w:numFmt w:val="decimal"/>
      <w:lvlText w:val="%2.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C3C1CE8"/>
    <w:multiLevelType w:val="hybridMultilevel"/>
    <w:tmpl w:val="DDE2A1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4828E5"/>
    <w:multiLevelType w:val="multilevel"/>
    <w:tmpl w:val="C096C29E"/>
    <w:lvl w:ilvl="0">
      <w:start w:val="1"/>
      <w:numFmt w:val="decimal"/>
      <w:lvlText w:val="%1."/>
      <w:lvlJc w:val="left"/>
      <w:pPr>
        <w:ind w:left="720" w:hanging="360"/>
      </w:pPr>
      <w:rPr>
        <w:rFonts w:hint="default"/>
      </w:rPr>
    </w:lvl>
    <w:lvl w:ilvl="1">
      <w:start w:val="1"/>
      <w:numFmt w:val="decimal"/>
      <w:lvlText w:val="%2.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F4D045E"/>
    <w:multiLevelType w:val="hybridMultilevel"/>
    <w:tmpl w:val="A6A20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9A5825"/>
    <w:multiLevelType w:val="hybridMultilevel"/>
    <w:tmpl w:val="9452B30E"/>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 w15:restartNumberingAfterBreak="0">
    <w:nsid w:val="230D64FB"/>
    <w:multiLevelType w:val="multilevel"/>
    <w:tmpl w:val="1DF6C1E2"/>
    <w:lvl w:ilvl="0">
      <w:start w:val="1"/>
      <w:numFmt w:val="decimal"/>
      <w:lvlText w:val="%1."/>
      <w:lvlJc w:val="left"/>
      <w:pPr>
        <w:ind w:left="720" w:hanging="360"/>
      </w:pPr>
      <w:rPr>
        <w:rFonts w:hint="default"/>
      </w:rPr>
    </w:lvl>
    <w:lvl w:ilvl="1">
      <w:start w:val="1"/>
      <w:numFmt w:val="decimal"/>
      <w:lvlText w:val="%2.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78435A6"/>
    <w:multiLevelType w:val="hybridMultilevel"/>
    <w:tmpl w:val="E36EAC4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7" w15:restartNumberingAfterBreak="0">
    <w:nsid w:val="27E65E71"/>
    <w:multiLevelType w:val="multilevel"/>
    <w:tmpl w:val="1DF6C1E2"/>
    <w:lvl w:ilvl="0">
      <w:start w:val="1"/>
      <w:numFmt w:val="decimal"/>
      <w:lvlText w:val="%1."/>
      <w:lvlJc w:val="left"/>
      <w:pPr>
        <w:ind w:left="720" w:hanging="360"/>
      </w:pPr>
      <w:rPr>
        <w:rFonts w:hint="default"/>
      </w:rPr>
    </w:lvl>
    <w:lvl w:ilvl="1">
      <w:start w:val="1"/>
      <w:numFmt w:val="decimal"/>
      <w:lvlText w:val="%2.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F63236C"/>
    <w:multiLevelType w:val="multilevel"/>
    <w:tmpl w:val="4BA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C8020D"/>
    <w:multiLevelType w:val="hybridMultilevel"/>
    <w:tmpl w:val="B02AC99C"/>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 w15:restartNumberingAfterBreak="0">
    <w:nsid w:val="39744B92"/>
    <w:multiLevelType w:val="hybridMultilevel"/>
    <w:tmpl w:val="B88ECEBE"/>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3E8F3A8E"/>
    <w:multiLevelType w:val="multilevel"/>
    <w:tmpl w:val="C096C29E"/>
    <w:lvl w:ilvl="0">
      <w:start w:val="1"/>
      <w:numFmt w:val="decimal"/>
      <w:lvlText w:val="%1."/>
      <w:lvlJc w:val="left"/>
      <w:pPr>
        <w:ind w:left="720" w:hanging="360"/>
      </w:pPr>
      <w:rPr>
        <w:rFonts w:hint="default"/>
      </w:rPr>
    </w:lvl>
    <w:lvl w:ilvl="1">
      <w:start w:val="1"/>
      <w:numFmt w:val="decimal"/>
      <w:lvlText w:val="%2.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EAF6FA8"/>
    <w:multiLevelType w:val="multilevel"/>
    <w:tmpl w:val="1DF6C1E2"/>
    <w:lvl w:ilvl="0">
      <w:start w:val="1"/>
      <w:numFmt w:val="decimal"/>
      <w:lvlText w:val="%1."/>
      <w:lvlJc w:val="left"/>
      <w:pPr>
        <w:ind w:left="720" w:hanging="360"/>
      </w:pPr>
      <w:rPr>
        <w:rFonts w:hint="default"/>
      </w:rPr>
    </w:lvl>
    <w:lvl w:ilvl="1">
      <w:start w:val="1"/>
      <w:numFmt w:val="decimal"/>
      <w:lvlText w:val="%2.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1FF1FC6"/>
    <w:multiLevelType w:val="multilevel"/>
    <w:tmpl w:val="7C4010C6"/>
    <w:lvl w:ilvl="0">
      <w:start w:val="1"/>
      <w:numFmt w:val="decimal"/>
      <w:lvlText w:val="%1."/>
      <w:lvlJc w:val="left"/>
      <w:pPr>
        <w:ind w:left="720" w:hanging="360"/>
      </w:pPr>
      <w:rPr>
        <w:rFonts w:hint="default"/>
      </w:rPr>
    </w:lvl>
    <w:lvl w:ilvl="1">
      <w:start w:val="1"/>
      <w:numFmt w:val="decimal"/>
      <w:lvlText w:val="%2.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53D70C2"/>
    <w:multiLevelType w:val="multilevel"/>
    <w:tmpl w:val="7EE46D6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9114437"/>
    <w:multiLevelType w:val="hybridMultilevel"/>
    <w:tmpl w:val="7EC00F6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6" w15:restartNumberingAfterBreak="0">
    <w:nsid w:val="4C3E2069"/>
    <w:multiLevelType w:val="hybridMultilevel"/>
    <w:tmpl w:val="29BA3F6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7" w15:restartNumberingAfterBreak="0">
    <w:nsid w:val="4E206762"/>
    <w:multiLevelType w:val="multilevel"/>
    <w:tmpl w:val="1DF6C1E2"/>
    <w:lvl w:ilvl="0">
      <w:start w:val="1"/>
      <w:numFmt w:val="decimal"/>
      <w:lvlText w:val="%1."/>
      <w:lvlJc w:val="left"/>
      <w:pPr>
        <w:ind w:left="720" w:hanging="360"/>
      </w:pPr>
      <w:rPr>
        <w:rFonts w:hint="default"/>
      </w:rPr>
    </w:lvl>
    <w:lvl w:ilvl="1">
      <w:start w:val="1"/>
      <w:numFmt w:val="decimal"/>
      <w:lvlText w:val="%2.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C7B2E90"/>
    <w:multiLevelType w:val="hybridMultilevel"/>
    <w:tmpl w:val="1C88D620"/>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9" w15:restartNumberingAfterBreak="0">
    <w:nsid w:val="5DAA1A7E"/>
    <w:multiLevelType w:val="hybridMultilevel"/>
    <w:tmpl w:val="F2E6EAC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0" w15:restartNumberingAfterBreak="0">
    <w:nsid w:val="62ED6DAF"/>
    <w:multiLevelType w:val="multilevel"/>
    <w:tmpl w:val="1DF6C1E2"/>
    <w:lvl w:ilvl="0">
      <w:start w:val="1"/>
      <w:numFmt w:val="decimal"/>
      <w:lvlText w:val="%1."/>
      <w:lvlJc w:val="left"/>
      <w:pPr>
        <w:ind w:left="720" w:hanging="360"/>
      </w:pPr>
      <w:rPr>
        <w:rFonts w:hint="default"/>
      </w:rPr>
    </w:lvl>
    <w:lvl w:ilvl="1">
      <w:start w:val="1"/>
      <w:numFmt w:val="decimal"/>
      <w:lvlText w:val="%2.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8990E9D"/>
    <w:multiLevelType w:val="hybridMultilevel"/>
    <w:tmpl w:val="A1BAEC8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2" w15:restartNumberingAfterBreak="0">
    <w:nsid w:val="69D13B04"/>
    <w:multiLevelType w:val="multilevel"/>
    <w:tmpl w:val="1DF6C1E2"/>
    <w:lvl w:ilvl="0">
      <w:start w:val="1"/>
      <w:numFmt w:val="decimal"/>
      <w:lvlText w:val="%1."/>
      <w:lvlJc w:val="left"/>
      <w:pPr>
        <w:ind w:left="720" w:hanging="360"/>
      </w:pPr>
      <w:rPr>
        <w:rFonts w:hint="default"/>
      </w:rPr>
    </w:lvl>
    <w:lvl w:ilvl="1">
      <w:start w:val="1"/>
      <w:numFmt w:val="decimal"/>
      <w:lvlText w:val="%2.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F0B4F5D"/>
    <w:multiLevelType w:val="multilevel"/>
    <w:tmpl w:val="7C4010C6"/>
    <w:lvl w:ilvl="0">
      <w:start w:val="1"/>
      <w:numFmt w:val="decimal"/>
      <w:lvlText w:val="%1."/>
      <w:lvlJc w:val="left"/>
      <w:pPr>
        <w:ind w:left="720" w:hanging="360"/>
      </w:pPr>
      <w:rPr>
        <w:rFonts w:hint="default"/>
      </w:rPr>
    </w:lvl>
    <w:lvl w:ilvl="1">
      <w:start w:val="1"/>
      <w:numFmt w:val="decimal"/>
      <w:lvlText w:val="%2.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08A1F13"/>
    <w:multiLevelType w:val="hybridMultilevel"/>
    <w:tmpl w:val="AEFC858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811753637">
    <w:abstractNumId w:val="3"/>
  </w:num>
  <w:num w:numId="2" w16cid:durableId="1766917237">
    <w:abstractNumId w:val="5"/>
  </w:num>
  <w:num w:numId="3" w16cid:durableId="1931036015">
    <w:abstractNumId w:val="14"/>
  </w:num>
  <w:num w:numId="4" w16cid:durableId="259073490">
    <w:abstractNumId w:val="23"/>
  </w:num>
  <w:num w:numId="5" w16cid:durableId="704132906">
    <w:abstractNumId w:val="13"/>
  </w:num>
  <w:num w:numId="6" w16cid:durableId="1318418919">
    <w:abstractNumId w:val="11"/>
  </w:num>
  <w:num w:numId="7" w16cid:durableId="138960140">
    <w:abstractNumId w:val="2"/>
  </w:num>
  <w:num w:numId="8" w16cid:durableId="1754819074">
    <w:abstractNumId w:val="4"/>
  </w:num>
  <w:num w:numId="9" w16cid:durableId="651255796">
    <w:abstractNumId w:val="18"/>
  </w:num>
  <w:num w:numId="10" w16cid:durableId="288322120">
    <w:abstractNumId w:val="8"/>
  </w:num>
  <w:num w:numId="11" w16cid:durableId="844130324">
    <w:abstractNumId w:val="20"/>
  </w:num>
  <w:num w:numId="12" w16cid:durableId="656611924">
    <w:abstractNumId w:val="21"/>
  </w:num>
  <w:num w:numId="13" w16cid:durableId="596406458">
    <w:abstractNumId w:val="10"/>
  </w:num>
  <w:num w:numId="14" w16cid:durableId="1310595310">
    <w:abstractNumId w:val="9"/>
  </w:num>
  <w:num w:numId="15" w16cid:durableId="712266159">
    <w:abstractNumId w:val="16"/>
  </w:num>
  <w:num w:numId="16" w16cid:durableId="1622110554">
    <w:abstractNumId w:val="6"/>
  </w:num>
  <w:num w:numId="17" w16cid:durableId="80875616">
    <w:abstractNumId w:val="24"/>
  </w:num>
  <w:num w:numId="18" w16cid:durableId="1545218522">
    <w:abstractNumId w:val="19"/>
  </w:num>
  <w:num w:numId="19" w16cid:durableId="1010642255">
    <w:abstractNumId w:val="15"/>
  </w:num>
  <w:num w:numId="20" w16cid:durableId="1326322144">
    <w:abstractNumId w:val="1"/>
  </w:num>
  <w:num w:numId="21" w16cid:durableId="1631588054">
    <w:abstractNumId w:val="12"/>
  </w:num>
  <w:num w:numId="22" w16cid:durableId="1438326919">
    <w:abstractNumId w:val="22"/>
  </w:num>
  <w:num w:numId="23" w16cid:durableId="1721442131">
    <w:abstractNumId w:val="0"/>
  </w:num>
  <w:num w:numId="24" w16cid:durableId="1581023202">
    <w:abstractNumId w:val="7"/>
  </w:num>
  <w:num w:numId="25" w16cid:durableId="18759203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AAA"/>
    <w:rsid w:val="00001A46"/>
    <w:rsid w:val="00017267"/>
    <w:rsid w:val="0002438A"/>
    <w:rsid w:val="00027A49"/>
    <w:rsid w:val="000413C8"/>
    <w:rsid w:val="00044056"/>
    <w:rsid w:val="00047C80"/>
    <w:rsid w:val="000520C8"/>
    <w:rsid w:val="00070594"/>
    <w:rsid w:val="00073241"/>
    <w:rsid w:val="00084823"/>
    <w:rsid w:val="0008596D"/>
    <w:rsid w:val="00090309"/>
    <w:rsid w:val="00096171"/>
    <w:rsid w:val="000A10E9"/>
    <w:rsid w:val="000C4738"/>
    <w:rsid w:val="000C5C3B"/>
    <w:rsid w:val="000C6A25"/>
    <w:rsid w:val="000C6C52"/>
    <w:rsid w:val="000F3375"/>
    <w:rsid w:val="000F4D79"/>
    <w:rsid w:val="00106D60"/>
    <w:rsid w:val="00106E8D"/>
    <w:rsid w:val="0012290A"/>
    <w:rsid w:val="00124FB6"/>
    <w:rsid w:val="00126324"/>
    <w:rsid w:val="0012748D"/>
    <w:rsid w:val="001326BC"/>
    <w:rsid w:val="00132E49"/>
    <w:rsid w:val="00134210"/>
    <w:rsid w:val="001342D1"/>
    <w:rsid w:val="00134D3F"/>
    <w:rsid w:val="0014148A"/>
    <w:rsid w:val="00141DCF"/>
    <w:rsid w:val="0014515B"/>
    <w:rsid w:val="0014635A"/>
    <w:rsid w:val="00147713"/>
    <w:rsid w:val="00150EFF"/>
    <w:rsid w:val="00162D0D"/>
    <w:rsid w:val="00166813"/>
    <w:rsid w:val="00173EA4"/>
    <w:rsid w:val="0017471C"/>
    <w:rsid w:val="00180094"/>
    <w:rsid w:val="001A0AAC"/>
    <w:rsid w:val="001A230F"/>
    <w:rsid w:val="001B1C75"/>
    <w:rsid w:val="001B5AF2"/>
    <w:rsid w:val="001B68B7"/>
    <w:rsid w:val="001B7146"/>
    <w:rsid w:val="001C1B79"/>
    <w:rsid w:val="001D5693"/>
    <w:rsid w:val="001D6174"/>
    <w:rsid w:val="001E0675"/>
    <w:rsid w:val="001E0BE4"/>
    <w:rsid w:val="001F0400"/>
    <w:rsid w:val="001F42B9"/>
    <w:rsid w:val="001F6C2C"/>
    <w:rsid w:val="001F7C2A"/>
    <w:rsid w:val="00205228"/>
    <w:rsid w:val="00211AAA"/>
    <w:rsid w:val="00232820"/>
    <w:rsid w:val="00232B65"/>
    <w:rsid w:val="0023619D"/>
    <w:rsid w:val="00242D5C"/>
    <w:rsid w:val="00262554"/>
    <w:rsid w:val="00287A17"/>
    <w:rsid w:val="00296AD5"/>
    <w:rsid w:val="00297CF1"/>
    <w:rsid w:val="002A00E2"/>
    <w:rsid w:val="002A4738"/>
    <w:rsid w:val="002A4F62"/>
    <w:rsid w:val="002A6BC4"/>
    <w:rsid w:val="002A79F8"/>
    <w:rsid w:val="002B07C7"/>
    <w:rsid w:val="002B3B76"/>
    <w:rsid w:val="002B4A41"/>
    <w:rsid w:val="002C24AE"/>
    <w:rsid w:val="002C4061"/>
    <w:rsid w:val="002C637B"/>
    <w:rsid w:val="002D0F57"/>
    <w:rsid w:val="002D4365"/>
    <w:rsid w:val="002D4E82"/>
    <w:rsid w:val="002F2D86"/>
    <w:rsid w:val="00300B09"/>
    <w:rsid w:val="00300DD7"/>
    <w:rsid w:val="003070AA"/>
    <w:rsid w:val="0030756D"/>
    <w:rsid w:val="003201C5"/>
    <w:rsid w:val="00323C0F"/>
    <w:rsid w:val="00347D1C"/>
    <w:rsid w:val="00351FBF"/>
    <w:rsid w:val="00361835"/>
    <w:rsid w:val="00362BF5"/>
    <w:rsid w:val="0036320E"/>
    <w:rsid w:val="00365848"/>
    <w:rsid w:val="00367CCF"/>
    <w:rsid w:val="00372825"/>
    <w:rsid w:val="003804B5"/>
    <w:rsid w:val="003900FD"/>
    <w:rsid w:val="00395B2C"/>
    <w:rsid w:val="0039699A"/>
    <w:rsid w:val="003A1548"/>
    <w:rsid w:val="003A3D27"/>
    <w:rsid w:val="003B1B80"/>
    <w:rsid w:val="003C68AB"/>
    <w:rsid w:val="003D1B59"/>
    <w:rsid w:val="003D2DEB"/>
    <w:rsid w:val="003D342F"/>
    <w:rsid w:val="003D68D6"/>
    <w:rsid w:val="003F18A6"/>
    <w:rsid w:val="003F35EB"/>
    <w:rsid w:val="003F399A"/>
    <w:rsid w:val="00400371"/>
    <w:rsid w:val="004009E9"/>
    <w:rsid w:val="0040316A"/>
    <w:rsid w:val="00404A86"/>
    <w:rsid w:val="00405DA0"/>
    <w:rsid w:val="004107C5"/>
    <w:rsid w:val="00413541"/>
    <w:rsid w:val="00417C97"/>
    <w:rsid w:val="004224D9"/>
    <w:rsid w:val="00424AC8"/>
    <w:rsid w:val="00426D67"/>
    <w:rsid w:val="004275C9"/>
    <w:rsid w:val="00431745"/>
    <w:rsid w:val="004331FC"/>
    <w:rsid w:val="004376BA"/>
    <w:rsid w:val="00446D60"/>
    <w:rsid w:val="00461BDE"/>
    <w:rsid w:val="00462443"/>
    <w:rsid w:val="00471085"/>
    <w:rsid w:val="00471ED3"/>
    <w:rsid w:val="00472F32"/>
    <w:rsid w:val="00495E61"/>
    <w:rsid w:val="004A037D"/>
    <w:rsid w:val="004A3FF2"/>
    <w:rsid w:val="004B04D8"/>
    <w:rsid w:val="004B0875"/>
    <w:rsid w:val="004B2552"/>
    <w:rsid w:val="004B32F0"/>
    <w:rsid w:val="004C4543"/>
    <w:rsid w:val="004C6951"/>
    <w:rsid w:val="004F20EA"/>
    <w:rsid w:val="004F2480"/>
    <w:rsid w:val="004F256D"/>
    <w:rsid w:val="004F6445"/>
    <w:rsid w:val="005011FF"/>
    <w:rsid w:val="0051160E"/>
    <w:rsid w:val="00513E4E"/>
    <w:rsid w:val="0051791F"/>
    <w:rsid w:val="0052524C"/>
    <w:rsid w:val="00525990"/>
    <w:rsid w:val="00536B6F"/>
    <w:rsid w:val="005407F0"/>
    <w:rsid w:val="00547407"/>
    <w:rsid w:val="00555C79"/>
    <w:rsid w:val="00557AFF"/>
    <w:rsid w:val="00557CA0"/>
    <w:rsid w:val="00561C8E"/>
    <w:rsid w:val="0056400D"/>
    <w:rsid w:val="0056410D"/>
    <w:rsid w:val="00571C3F"/>
    <w:rsid w:val="005748AC"/>
    <w:rsid w:val="005772CE"/>
    <w:rsid w:val="00582B3E"/>
    <w:rsid w:val="0058331F"/>
    <w:rsid w:val="005846EE"/>
    <w:rsid w:val="005849A2"/>
    <w:rsid w:val="00590836"/>
    <w:rsid w:val="005909BD"/>
    <w:rsid w:val="005961F0"/>
    <w:rsid w:val="005A4211"/>
    <w:rsid w:val="005B15C8"/>
    <w:rsid w:val="005C5B68"/>
    <w:rsid w:val="005D3B13"/>
    <w:rsid w:val="005D4D5B"/>
    <w:rsid w:val="005D7AD0"/>
    <w:rsid w:val="005E419F"/>
    <w:rsid w:val="005E6025"/>
    <w:rsid w:val="005F0090"/>
    <w:rsid w:val="005F49FE"/>
    <w:rsid w:val="005F59C3"/>
    <w:rsid w:val="00602EC1"/>
    <w:rsid w:val="00603016"/>
    <w:rsid w:val="00610D86"/>
    <w:rsid w:val="00610FCB"/>
    <w:rsid w:val="006137C9"/>
    <w:rsid w:val="0061704A"/>
    <w:rsid w:val="00623A75"/>
    <w:rsid w:val="006371BC"/>
    <w:rsid w:val="006445DC"/>
    <w:rsid w:val="006516A2"/>
    <w:rsid w:val="006558B6"/>
    <w:rsid w:val="006644F9"/>
    <w:rsid w:val="00674575"/>
    <w:rsid w:val="006801A0"/>
    <w:rsid w:val="00680C47"/>
    <w:rsid w:val="00681637"/>
    <w:rsid w:val="0068215A"/>
    <w:rsid w:val="00683805"/>
    <w:rsid w:val="00685FD8"/>
    <w:rsid w:val="006962AF"/>
    <w:rsid w:val="006A204C"/>
    <w:rsid w:val="006B12C7"/>
    <w:rsid w:val="006B3748"/>
    <w:rsid w:val="006C1B01"/>
    <w:rsid w:val="006D64AF"/>
    <w:rsid w:val="006F0499"/>
    <w:rsid w:val="006F5D5A"/>
    <w:rsid w:val="007048A6"/>
    <w:rsid w:val="007048F8"/>
    <w:rsid w:val="00704D0C"/>
    <w:rsid w:val="00705220"/>
    <w:rsid w:val="00714A5B"/>
    <w:rsid w:val="007209F5"/>
    <w:rsid w:val="00732B59"/>
    <w:rsid w:val="007343E0"/>
    <w:rsid w:val="0073583F"/>
    <w:rsid w:val="00762380"/>
    <w:rsid w:val="00765475"/>
    <w:rsid w:val="00771845"/>
    <w:rsid w:val="007734E7"/>
    <w:rsid w:val="00784B91"/>
    <w:rsid w:val="007926F9"/>
    <w:rsid w:val="007A0DE5"/>
    <w:rsid w:val="007B1705"/>
    <w:rsid w:val="007B344A"/>
    <w:rsid w:val="007C0D0D"/>
    <w:rsid w:val="007C4AFA"/>
    <w:rsid w:val="007C77D9"/>
    <w:rsid w:val="007C7CD4"/>
    <w:rsid w:val="007D04CC"/>
    <w:rsid w:val="007D3984"/>
    <w:rsid w:val="007D7159"/>
    <w:rsid w:val="007D73DD"/>
    <w:rsid w:val="007E0517"/>
    <w:rsid w:val="007E3CA5"/>
    <w:rsid w:val="007E414E"/>
    <w:rsid w:val="007F3EDC"/>
    <w:rsid w:val="00800451"/>
    <w:rsid w:val="00803348"/>
    <w:rsid w:val="008073D3"/>
    <w:rsid w:val="00807C09"/>
    <w:rsid w:val="00817DE6"/>
    <w:rsid w:val="00836DA6"/>
    <w:rsid w:val="00841E9B"/>
    <w:rsid w:val="00844662"/>
    <w:rsid w:val="008456FD"/>
    <w:rsid w:val="0085122A"/>
    <w:rsid w:val="00852E62"/>
    <w:rsid w:val="0085485C"/>
    <w:rsid w:val="008604AB"/>
    <w:rsid w:val="008706AA"/>
    <w:rsid w:val="008829D4"/>
    <w:rsid w:val="008953AB"/>
    <w:rsid w:val="008A6D78"/>
    <w:rsid w:val="008B0A7E"/>
    <w:rsid w:val="008B3498"/>
    <w:rsid w:val="008B5AA3"/>
    <w:rsid w:val="008B74FE"/>
    <w:rsid w:val="008C727C"/>
    <w:rsid w:val="008D2967"/>
    <w:rsid w:val="008D5B80"/>
    <w:rsid w:val="008D6655"/>
    <w:rsid w:val="008E2EA9"/>
    <w:rsid w:val="008F0F73"/>
    <w:rsid w:val="008F63BF"/>
    <w:rsid w:val="0090331B"/>
    <w:rsid w:val="0091090F"/>
    <w:rsid w:val="00914796"/>
    <w:rsid w:val="0091603E"/>
    <w:rsid w:val="009166B8"/>
    <w:rsid w:val="0091731A"/>
    <w:rsid w:val="00920727"/>
    <w:rsid w:val="00920B3B"/>
    <w:rsid w:val="00921A40"/>
    <w:rsid w:val="00925CC6"/>
    <w:rsid w:val="00933D57"/>
    <w:rsid w:val="00943F48"/>
    <w:rsid w:val="009441CE"/>
    <w:rsid w:val="00944E1F"/>
    <w:rsid w:val="00946105"/>
    <w:rsid w:val="00947E47"/>
    <w:rsid w:val="00947FAB"/>
    <w:rsid w:val="00957DD2"/>
    <w:rsid w:val="00962413"/>
    <w:rsid w:val="00982C04"/>
    <w:rsid w:val="00990780"/>
    <w:rsid w:val="00994693"/>
    <w:rsid w:val="009A7538"/>
    <w:rsid w:val="009B08CD"/>
    <w:rsid w:val="009B3D42"/>
    <w:rsid w:val="009B6511"/>
    <w:rsid w:val="009C2BBA"/>
    <w:rsid w:val="009C32D1"/>
    <w:rsid w:val="009C4FE7"/>
    <w:rsid w:val="009C72B0"/>
    <w:rsid w:val="009E2CD3"/>
    <w:rsid w:val="009E660C"/>
    <w:rsid w:val="009E70BB"/>
    <w:rsid w:val="009E7280"/>
    <w:rsid w:val="009F2F22"/>
    <w:rsid w:val="009F4394"/>
    <w:rsid w:val="009F5919"/>
    <w:rsid w:val="00A06360"/>
    <w:rsid w:val="00A15FE7"/>
    <w:rsid w:val="00A230E8"/>
    <w:rsid w:val="00A27440"/>
    <w:rsid w:val="00A31EE1"/>
    <w:rsid w:val="00A42B01"/>
    <w:rsid w:val="00A449C3"/>
    <w:rsid w:val="00A44D8C"/>
    <w:rsid w:val="00A460B7"/>
    <w:rsid w:val="00A55808"/>
    <w:rsid w:val="00A55CC2"/>
    <w:rsid w:val="00A625B2"/>
    <w:rsid w:val="00A709C2"/>
    <w:rsid w:val="00A74C0D"/>
    <w:rsid w:val="00A76A00"/>
    <w:rsid w:val="00A773A8"/>
    <w:rsid w:val="00A9140D"/>
    <w:rsid w:val="00A9358B"/>
    <w:rsid w:val="00A95564"/>
    <w:rsid w:val="00AA0F70"/>
    <w:rsid w:val="00AA2027"/>
    <w:rsid w:val="00AC5EA9"/>
    <w:rsid w:val="00AC72A2"/>
    <w:rsid w:val="00AC76DD"/>
    <w:rsid w:val="00AD0691"/>
    <w:rsid w:val="00AD56B6"/>
    <w:rsid w:val="00AD5B52"/>
    <w:rsid w:val="00AF4EAE"/>
    <w:rsid w:val="00AF615F"/>
    <w:rsid w:val="00B00DB7"/>
    <w:rsid w:val="00B00F56"/>
    <w:rsid w:val="00B025F3"/>
    <w:rsid w:val="00B042C5"/>
    <w:rsid w:val="00B04D17"/>
    <w:rsid w:val="00B054F9"/>
    <w:rsid w:val="00B103D3"/>
    <w:rsid w:val="00B224EC"/>
    <w:rsid w:val="00B25943"/>
    <w:rsid w:val="00B54F58"/>
    <w:rsid w:val="00B5634F"/>
    <w:rsid w:val="00B62D14"/>
    <w:rsid w:val="00B66125"/>
    <w:rsid w:val="00B67BB4"/>
    <w:rsid w:val="00B67EDA"/>
    <w:rsid w:val="00B70C16"/>
    <w:rsid w:val="00B73483"/>
    <w:rsid w:val="00B81BFB"/>
    <w:rsid w:val="00B87D35"/>
    <w:rsid w:val="00B91C85"/>
    <w:rsid w:val="00B95149"/>
    <w:rsid w:val="00BA1E33"/>
    <w:rsid w:val="00BA2A1F"/>
    <w:rsid w:val="00BA5561"/>
    <w:rsid w:val="00BA5C4E"/>
    <w:rsid w:val="00BA7649"/>
    <w:rsid w:val="00BB2834"/>
    <w:rsid w:val="00BB41F4"/>
    <w:rsid w:val="00BC1E8D"/>
    <w:rsid w:val="00BC34B9"/>
    <w:rsid w:val="00BC77D8"/>
    <w:rsid w:val="00BD4183"/>
    <w:rsid w:val="00BD6A6F"/>
    <w:rsid w:val="00BD7E3F"/>
    <w:rsid w:val="00BE1A50"/>
    <w:rsid w:val="00BF32D4"/>
    <w:rsid w:val="00BF3BC2"/>
    <w:rsid w:val="00C047F2"/>
    <w:rsid w:val="00C1180E"/>
    <w:rsid w:val="00C16ADD"/>
    <w:rsid w:val="00C214A7"/>
    <w:rsid w:val="00C2220F"/>
    <w:rsid w:val="00C2601D"/>
    <w:rsid w:val="00C273D3"/>
    <w:rsid w:val="00C30EBF"/>
    <w:rsid w:val="00C3788E"/>
    <w:rsid w:val="00C37EEE"/>
    <w:rsid w:val="00C40986"/>
    <w:rsid w:val="00C40B7E"/>
    <w:rsid w:val="00C51327"/>
    <w:rsid w:val="00C513BB"/>
    <w:rsid w:val="00C53700"/>
    <w:rsid w:val="00C62005"/>
    <w:rsid w:val="00C641F8"/>
    <w:rsid w:val="00C66097"/>
    <w:rsid w:val="00C76D7F"/>
    <w:rsid w:val="00C77976"/>
    <w:rsid w:val="00C8314A"/>
    <w:rsid w:val="00C93783"/>
    <w:rsid w:val="00C95592"/>
    <w:rsid w:val="00C96553"/>
    <w:rsid w:val="00C9765C"/>
    <w:rsid w:val="00C979F0"/>
    <w:rsid w:val="00C97F6B"/>
    <w:rsid w:val="00CB22BE"/>
    <w:rsid w:val="00CB6C65"/>
    <w:rsid w:val="00CC3119"/>
    <w:rsid w:val="00CC797B"/>
    <w:rsid w:val="00CD2F12"/>
    <w:rsid w:val="00CD4D92"/>
    <w:rsid w:val="00CD4D9E"/>
    <w:rsid w:val="00CD5D92"/>
    <w:rsid w:val="00CE7959"/>
    <w:rsid w:val="00CF04DB"/>
    <w:rsid w:val="00CF26CA"/>
    <w:rsid w:val="00CF7758"/>
    <w:rsid w:val="00D03A8D"/>
    <w:rsid w:val="00D168C0"/>
    <w:rsid w:val="00D17CA5"/>
    <w:rsid w:val="00D33DCE"/>
    <w:rsid w:val="00D34AD2"/>
    <w:rsid w:val="00D452E5"/>
    <w:rsid w:val="00D55CD4"/>
    <w:rsid w:val="00D57702"/>
    <w:rsid w:val="00D604E9"/>
    <w:rsid w:val="00D632F3"/>
    <w:rsid w:val="00D938DD"/>
    <w:rsid w:val="00DA05BC"/>
    <w:rsid w:val="00DA0AD5"/>
    <w:rsid w:val="00DA2C6A"/>
    <w:rsid w:val="00DA6CC6"/>
    <w:rsid w:val="00DB49A5"/>
    <w:rsid w:val="00DC4E2F"/>
    <w:rsid w:val="00DD4FBF"/>
    <w:rsid w:val="00DF15D9"/>
    <w:rsid w:val="00DF3222"/>
    <w:rsid w:val="00DF7494"/>
    <w:rsid w:val="00E00CD5"/>
    <w:rsid w:val="00E00DCD"/>
    <w:rsid w:val="00E020AF"/>
    <w:rsid w:val="00E107B9"/>
    <w:rsid w:val="00E1243E"/>
    <w:rsid w:val="00E13019"/>
    <w:rsid w:val="00E13A4D"/>
    <w:rsid w:val="00E14C38"/>
    <w:rsid w:val="00E162A9"/>
    <w:rsid w:val="00E17758"/>
    <w:rsid w:val="00E24A10"/>
    <w:rsid w:val="00E3011F"/>
    <w:rsid w:val="00E358AC"/>
    <w:rsid w:val="00E3794B"/>
    <w:rsid w:val="00E416A9"/>
    <w:rsid w:val="00E45FBB"/>
    <w:rsid w:val="00E614D0"/>
    <w:rsid w:val="00E64FA8"/>
    <w:rsid w:val="00E708CC"/>
    <w:rsid w:val="00E821E6"/>
    <w:rsid w:val="00E94056"/>
    <w:rsid w:val="00E96D14"/>
    <w:rsid w:val="00EB15D8"/>
    <w:rsid w:val="00EB1FE1"/>
    <w:rsid w:val="00EB51B7"/>
    <w:rsid w:val="00EB5D26"/>
    <w:rsid w:val="00EB7BED"/>
    <w:rsid w:val="00EC6019"/>
    <w:rsid w:val="00ED2E86"/>
    <w:rsid w:val="00EE49CA"/>
    <w:rsid w:val="00EF2481"/>
    <w:rsid w:val="00EF2C69"/>
    <w:rsid w:val="00F0085E"/>
    <w:rsid w:val="00F0171C"/>
    <w:rsid w:val="00F0626D"/>
    <w:rsid w:val="00F06ED8"/>
    <w:rsid w:val="00F12FA3"/>
    <w:rsid w:val="00F1446C"/>
    <w:rsid w:val="00F15532"/>
    <w:rsid w:val="00F15F41"/>
    <w:rsid w:val="00F169A1"/>
    <w:rsid w:val="00F21C0D"/>
    <w:rsid w:val="00F23D8B"/>
    <w:rsid w:val="00F269FB"/>
    <w:rsid w:val="00F30442"/>
    <w:rsid w:val="00F4774E"/>
    <w:rsid w:val="00F544D6"/>
    <w:rsid w:val="00F553A2"/>
    <w:rsid w:val="00F66129"/>
    <w:rsid w:val="00F70C86"/>
    <w:rsid w:val="00F727F5"/>
    <w:rsid w:val="00F72FB7"/>
    <w:rsid w:val="00F80FDB"/>
    <w:rsid w:val="00F8443D"/>
    <w:rsid w:val="00F9521D"/>
    <w:rsid w:val="00F97F61"/>
    <w:rsid w:val="00FA0711"/>
    <w:rsid w:val="00FA09EB"/>
    <w:rsid w:val="00FB3BB5"/>
    <w:rsid w:val="00FB7A1E"/>
    <w:rsid w:val="00FC1B4F"/>
    <w:rsid w:val="00FC6144"/>
    <w:rsid w:val="00FD15D7"/>
    <w:rsid w:val="00FD2FA5"/>
    <w:rsid w:val="00FE02CA"/>
    <w:rsid w:val="00FE0BA3"/>
    <w:rsid w:val="00FE6613"/>
    <w:rsid w:val="00FE7BA8"/>
    <w:rsid w:val="00FE7FCB"/>
    <w:rsid w:val="00FF3584"/>
    <w:rsid w:val="00FF5622"/>
    <w:rsid w:val="00FF58B5"/>
  </w:rsids>
  <m:mathPr>
    <m:mathFont m:val="Cambria Math"/>
    <m:brkBin m:val="before"/>
    <m:brkBinSub m:val="--"/>
    <m:smallFrac m:val="0"/>
    <m:dispDef/>
    <m:lMargin m:val="0"/>
    <m:rMargin m:val="0"/>
    <m:defJc m:val="centerGroup"/>
    <m:wrapIndent m:val="1440"/>
    <m:intLim m:val="subSup"/>
    <m:naryLim m:val="undOvr"/>
  </m:mathPr>
  <w:themeFontLang w:val="fi-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564EB"/>
  <w15:chartTrackingRefBased/>
  <w15:docId w15:val="{4EDE61A0-0E66-42EE-AED2-BD675CC69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F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6A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A7538"/>
    <w:pPr>
      <w:keepNext/>
      <w:keepLines/>
      <w:spacing w:before="40" w:after="2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6AD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96AD5"/>
    <w:pPr>
      <w:ind w:left="720"/>
      <w:contextualSpacing/>
    </w:pPr>
  </w:style>
  <w:style w:type="paragraph" w:styleId="FootnoteText">
    <w:name w:val="footnote text"/>
    <w:basedOn w:val="Normal"/>
    <w:link w:val="FootnoteTextChar"/>
    <w:uiPriority w:val="99"/>
    <w:semiHidden/>
    <w:unhideWhenUsed/>
    <w:rsid w:val="00E00D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00DCD"/>
    <w:rPr>
      <w:sz w:val="20"/>
      <w:szCs w:val="20"/>
    </w:rPr>
  </w:style>
  <w:style w:type="character" w:styleId="FootnoteReference">
    <w:name w:val="footnote reference"/>
    <w:basedOn w:val="DefaultParagraphFont"/>
    <w:uiPriority w:val="99"/>
    <w:semiHidden/>
    <w:unhideWhenUsed/>
    <w:rsid w:val="00E00DCD"/>
    <w:rPr>
      <w:vertAlign w:val="superscript"/>
    </w:rPr>
  </w:style>
  <w:style w:type="character" w:styleId="Hyperlink">
    <w:name w:val="Hyperlink"/>
    <w:basedOn w:val="DefaultParagraphFont"/>
    <w:uiPriority w:val="99"/>
    <w:unhideWhenUsed/>
    <w:rsid w:val="00E00DCD"/>
    <w:rPr>
      <w:color w:val="0563C1" w:themeColor="hyperlink"/>
      <w:u w:val="single"/>
    </w:rPr>
  </w:style>
  <w:style w:type="character" w:customStyle="1" w:styleId="UnresolvedMention1">
    <w:name w:val="Unresolved Mention1"/>
    <w:basedOn w:val="DefaultParagraphFont"/>
    <w:uiPriority w:val="99"/>
    <w:semiHidden/>
    <w:unhideWhenUsed/>
    <w:rsid w:val="00E00DCD"/>
    <w:rPr>
      <w:color w:val="605E5C"/>
      <w:shd w:val="clear" w:color="auto" w:fill="E1DFDD"/>
    </w:rPr>
  </w:style>
  <w:style w:type="character" w:customStyle="1" w:styleId="Heading3Char">
    <w:name w:val="Heading 3 Char"/>
    <w:basedOn w:val="DefaultParagraphFont"/>
    <w:link w:val="Heading3"/>
    <w:uiPriority w:val="9"/>
    <w:rsid w:val="009A7538"/>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E64FA8"/>
    <w:rPr>
      <w:color w:val="954F72" w:themeColor="followedHyperlink"/>
      <w:u w:val="single"/>
    </w:rPr>
  </w:style>
  <w:style w:type="character" w:customStyle="1" w:styleId="Heading1Char">
    <w:name w:val="Heading 1 Char"/>
    <w:basedOn w:val="DefaultParagraphFont"/>
    <w:link w:val="Heading1"/>
    <w:uiPriority w:val="9"/>
    <w:rsid w:val="00E64FA8"/>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1342D1"/>
    <w:rPr>
      <w:sz w:val="16"/>
      <w:szCs w:val="16"/>
    </w:rPr>
  </w:style>
  <w:style w:type="paragraph" w:styleId="CommentText">
    <w:name w:val="annotation text"/>
    <w:basedOn w:val="Normal"/>
    <w:link w:val="CommentTextChar"/>
    <w:uiPriority w:val="99"/>
    <w:unhideWhenUsed/>
    <w:rsid w:val="001342D1"/>
    <w:pPr>
      <w:spacing w:line="240" w:lineRule="auto"/>
    </w:pPr>
    <w:rPr>
      <w:sz w:val="20"/>
      <w:szCs w:val="20"/>
    </w:rPr>
  </w:style>
  <w:style w:type="character" w:customStyle="1" w:styleId="CommentTextChar">
    <w:name w:val="Comment Text Char"/>
    <w:basedOn w:val="DefaultParagraphFont"/>
    <w:link w:val="CommentText"/>
    <w:uiPriority w:val="99"/>
    <w:rsid w:val="001342D1"/>
    <w:rPr>
      <w:sz w:val="20"/>
      <w:szCs w:val="20"/>
    </w:rPr>
  </w:style>
  <w:style w:type="paragraph" w:styleId="CommentSubject">
    <w:name w:val="annotation subject"/>
    <w:basedOn w:val="CommentText"/>
    <w:next w:val="CommentText"/>
    <w:link w:val="CommentSubjectChar"/>
    <w:uiPriority w:val="99"/>
    <w:semiHidden/>
    <w:unhideWhenUsed/>
    <w:rsid w:val="001342D1"/>
    <w:rPr>
      <w:b/>
      <w:bCs/>
    </w:rPr>
  </w:style>
  <w:style w:type="character" w:customStyle="1" w:styleId="CommentSubjectChar">
    <w:name w:val="Comment Subject Char"/>
    <w:basedOn w:val="CommentTextChar"/>
    <w:link w:val="CommentSubject"/>
    <w:uiPriority w:val="99"/>
    <w:semiHidden/>
    <w:rsid w:val="001342D1"/>
    <w:rPr>
      <w:b/>
      <w:bCs/>
      <w:sz w:val="20"/>
      <w:szCs w:val="20"/>
    </w:rPr>
  </w:style>
  <w:style w:type="paragraph" w:styleId="NormalWeb">
    <w:name w:val="Normal (Web)"/>
    <w:basedOn w:val="Normal"/>
    <w:uiPriority w:val="99"/>
    <w:semiHidden/>
    <w:unhideWhenUsed/>
    <w:rsid w:val="004376BA"/>
    <w:pPr>
      <w:spacing w:before="100" w:beforeAutospacing="1" w:after="100" w:afterAutospacing="1" w:line="240" w:lineRule="auto"/>
    </w:pPr>
    <w:rPr>
      <w:rFonts w:ascii="Times New Roman" w:eastAsia="Times New Roman" w:hAnsi="Times New Roman" w:cs="Times New Roman"/>
      <w:kern w:val="0"/>
      <w:sz w:val="24"/>
      <w:szCs w:val="24"/>
      <w:lang w:val="fi-FI" w:eastAsia="fi-FI"/>
      <w14:ligatures w14:val="none"/>
    </w:rPr>
  </w:style>
  <w:style w:type="character" w:customStyle="1" w:styleId="sr-only">
    <w:name w:val="sr-only"/>
    <w:basedOn w:val="DefaultParagraphFont"/>
    <w:rsid w:val="00F8443D"/>
  </w:style>
  <w:style w:type="paragraph" w:styleId="Revision">
    <w:name w:val="Revision"/>
    <w:hidden/>
    <w:uiPriority w:val="99"/>
    <w:semiHidden/>
    <w:rsid w:val="00A06360"/>
    <w:pPr>
      <w:spacing w:after="0" w:line="240" w:lineRule="auto"/>
    </w:pPr>
  </w:style>
  <w:style w:type="paragraph" w:styleId="BalloonText">
    <w:name w:val="Balloon Text"/>
    <w:basedOn w:val="Normal"/>
    <w:link w:val="BalloonTextChar"/>
    <w:uiPriority w:val="99"/>
    <w:semiHidden/>
    <w:unhideWhenUsed/>
    <w:rsid w:val="00D34A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4AD2"/>
    <w:rPr>
      <w:rFonts w:ascii="Segoe UI" w:hAnsi="Segoe UI" w:cs="Segoe UI"/>
      <w:sz w:val="18"/>
      <w:szCs w:val="18"/>
    </w:rPr>
  </w:style>
  <w:style w:type="character" w:styleId="UnresolvedMention">
    <w:name w:val="Unresolved Mention"/>
    <w:basedOn w:val="DefaultParagraphFont"/>
    <w:uiPriority w:val="99"/>
    <w:semiHidden/>
    <w:unhideWhenUsed/>
    <w:rsid w:val="007D39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14530">
      <w:bodyDiv w:val="1"/>
      <w:marLeft w:val="0"/>
      <w:marRight w:val="0"/>
      <w:marTop w:val="0"/>
      <w:marBottom w:val="0"/>
      <w:divBdr>
        <w:top w:val="none" w:sz="0" w:space="0" w:color="auto"/>
        <w:left w:val="none" w:sz="0" w:space="0" w:color="auto"/>
        <w:bottom w:val="none" w:sz="0" w:space="0" w:color="auto"/>
        <w:right w:val="none" w:sz="0" w:space="0" w:color="auto"/>
      </w:divBdr>
    </w:div>
    <w:div w:id="140390861">
      <w:bodyDiv w:val="1"/>
      <w:marLeft w:val="0"/>
      <w:marRight w:val="0"/>
      <w:marTop w:val="0"/>
      <w:marBottom w:val="0"/>
      <w:divBdr>
        <w:top w:val="none" w:sz="0" w:space="0" w:color="auto"/>
        <w:left w:val="none" w:sz="0" w:space="0" w:color="auto"/>
        <w:bottom w:val="none" w:sz="0" w:space="0" w:color="auto"/>
        <w:right w:val="none" w:sz="0" w:space="0" w:color="auto"/>
      </w:divBdr>
    </w:div>
    <w:div w:id="179316887">
      <w:bodyDiv w:val="1"/>
      <w:marLeft w:val="0"/>
      <w:marRight w:val="0"/>
      <w:marTop w:val="0"/>
      <w:marBottom w:val="0"/>
      <w:divBdr>
        <w:top w:val="none" w:sz="0" w:space="0" w:color="auto"/>
        <w:left w:val="none" w:sz="0" w:space="0" w:color="auto"/>
        <w:bottom w:val="none" w:sz="0" w:space="0" w:color="auto"/>
        <w:right w:val="none" w:sz="0" w:space="0" w:color="auto"/>
      </w:divBdr>
    </w:div>
    <w:div w:id="184057736">
      <w:bodyDiv w:val="1"/>
      <w:marLeft w:val="0"/>
      <w:marRight w:val="0"/>
      <w:marTop w:val="0"/>
      <w:marBottom w:val="0"/>
      <w:divBdr>
        <w:top w:val="none" w:sz="0" w:space="0" w:color="auto"/>
        <w:left w:val="none" w:sz="0" w:space="0" w:color="auto"/>
        <w:bottom w:val="none" w:sz="0" w:space="0" w:color="auto"/>
        <w:right w:val="none" w:sz="0" w:space="0" w:color="auto"/>
      </w:divBdr>
    </w:div>
    <w:div w:id="195505036">
      <w:bodyDiv w:val="1"/>
      <w:marLeft w:val="0"/>
      <w:marRight w:val="0"/>
      <w:marTop w:val="0"/>
      <w:marBottom w:val="0"/>
      <w:divBdr>
        <w:top w:val="none" w:sz="0" w:space="0" w:color="auto"/>
        <w:left w:val="none" w:sz="0" w:space="0" w:color="auto"/>
        <w:bottom w:val="none" w:sz="0" w:space="0" w:color="auto"/>
        <w:right w:val="none" w:sz="0" w:space="0" w:color="auto"/>
      </w:divBdr>
    </w:div>
    <w:div w:id="237179953">
      <w:bodyDiv w:val="1"/>
      <w:marLeft w:val="0"/>
      <w:marRight w:val="0"/>
      <w:marTop w:val="0"/>
      <w:marBottom w:val="0"/>
      <w:divBdr>
        <w:top w:val="none" w:sz="0" w:space="0" w:color="auto"/>
        <w:left w:val="none" w:sz="0" w:space="0" w:color="auto"/>
        <w:bottom w:val="none" w:sz="0" w:space="0" w:color="auto"/>
        <w:right w:val="none" w:sz="0" w:space="0" w:color="auto"/>
      </w:divBdr>
    </w:div>
    <w:div w:id="278073733">
      <w:bodyDiv w:val="1"/>
      <w:marLeft w:val="0"/>
      <w:marRight w:val="0"/>
      <w:marTop w:val="0"/>
      <w:marBottom w:val="0"/>
      <w:divBdr>
        <w:top w:val="none" w:sz="0" w:space="0" w:color="auto"/>
        <w:left w:val="none" w:sz="0" w:space="0" w:color="auto"/>
        <w:bottom w:val="none" w:sz="0" w:space="0" w:color="auto"/>
        <w:right w:val="none" w:sz="0" w:space="0" w:color="auto"/>
      </w:divBdr>
    </w:div>
    <w:div w:id="680470357">
      <w:bodyDiv w:val="1"/>
      <w:marLeft w:val="0"/>
      <w:marRight w:val="0"/>
      <w:marTop w:val="0"/>
      <w:marBottom w:val="0"/>
      <w:divBdr>
        <w:top w:val="none" w:sz="0" w:space="0" w:color="auto"/>
        <w:left w:val="none" w:sz="0" w:space="0" w:color="auto"/>
        <w:bottom w:val="none" w:sz="0" w:space="0" w:color="auto"/>
        <w:right w:val="none" w:sz="0" w:space="0" w:color="auto"/>
      </w:divBdr>
    </w:div>
    <w:div w:id="796727901">
      <w:bodyDiv w:val="1"/>
      <w:marLeft w:val="0"/>
      <w:marRight w:val="0"/>
      <w:marTop w:val="0"/>
      <w:marBottom w:val="0"/>
      <w:divBdr>
        <w:top w:val="none" w:sz="0" w:space="0" w:color="auto"/>
        <w:left w:val="none" w:sz="0" w:space="0" w:color="auto"/>
        <w:bottom w:val="none" w:sz="0" w:space="0" w:color="auto"/>
        <w:right w:val="none" w:sz="0" w:space="0" w:color="auto"/>
      </w:divBdr>
    </w:div>
    <w:div w:id="799227046">
      <w:bodyDiv w:val="1"/>
      <w:marLeft w:val="0"/>
      <w:marRight w:val="0"/>
      <w:marTop w:val="0"/>
      <w:marBottom w:val="0"/>
      <w:divBdr>
        <w:top w:val="none" w:sz="0" w:space="0" w:color="auto"/>
        <w:left w:val="none" w:sz="0" w:space="0" w:color="auto"/>
        <w:bottom w:val="none" w:sz="0" w:space="0" w:color="auto"/>
        <w:right w:val="none" w:sz="0" w:space="0" w:color="auto"/>
      </w:divBdr>
    </w:div>
    <w:div w:id="816722053">
      <w:bodyDiv w:val="1"/>
      <w:marLeft w:val="0"/>
      <w:marRight w:val="0"/>
      <w:marTop w:val="0"/>
      <w:marBottom w:val="0"/>
      <w:divBdr>
        <w:top w:val="none" w:sz="0" w:space="0" w:color="auto"/>
        <w:left w:val="none" w:sz="0" w:space="0" w:color="auto"/>
        <w:bottom w:val="none" w:sz="0" w:space="0" w:color="auto"/>
        <w:right w:val="none" w:sz="0" w:space="0" w:color="auto"/>
      </w:divBdr>
    </w:div>
    <w:div w:id="839661491">
      <w:bodyDiv w:val="1"/>
      <w:marLeft w:val="0"/>
      <w:marRight w:val="0"/>
      <w:marTop w:val="0"/>
      <w:marBottom w:val="0"/>
      <w:divBdr>
        <w:top w:val="none" w:sz="0" w:space="0" w:color="auto"/>
        <w:left w:val="none" w:sz="0" w:space="0" w:color="auto"/>
        <w:bottom w:val="none" w:sz="0" w:space="0" w:color="auto"/>
        <w:right w:val="none" w:sz="0" w:space="0" w:color="auto"/>
      </w:divBdr>
    </w:div>
    <w:div w:id="882987764">
      <w:bodyDiv w:val="1"/>
      <w:marLeft w:val="0"/>
      <w:marRight w:val="0"/>
      <w:marTop w:val="0"/>
      <w:marBottom w:val="0"/>
      <w:divBdr>
        <w:top w:val="none" w:sz="0" w:space="0" w:color="auto"/>
        <w:left w:val="none" w:sz="0" w:space="0" w:color="auto"/>
        <w:bottom w:val="none" w:sz="0" w:space="0" w:color="auto"/>
        <w:right w:val="none" w:sz="0" w:space="0" w:color="auto"/>
      </w:divBdr>
    </w:div>
    <w:div w:id="886339952">
      <w:bodyDiv w:val="1"/>
      <w:marLeft w:val="0"/>
      <w:marRight w:val="0"/>
      <w:marTop w:val="0"/>
      <w:marBottom w:val="0"/>
      <w:divBdr>
        <w:top w:val="none" w:sz="0" w:space="0" w:color="auto"/>
        <w:left w:val="none" w:sz="0" w:space="0" w:color="auto"/>
        <w:bottom w:val="none" w:sz="0" w:space="0" w:color="auto"/>
        <w:right w:val="none" w:sz="0" w:space="0" w:color="auto"/>
      </w:divBdr>
    </w:div>
    <w:div w:id="932709572">
      <w:bodyDiv w:val="1"/>
      <w:marLeft w:val="0"/>
      <w:marRight w:val="0"/>
      <w:marTop w:val="0"/>
      <w:marBottom w:val="0"/>
      <w:divBdr>
        <w:top w:val="none" w:sz="0" w:space="0" w:color="auto"/>
        <w:left w:val="none" w:sz="0" w:space="0" w:color="auto"/>
        <w:bottom w:val="none" w:sz="0" w:space="0" w:color="auto"/>
        <w:right w:val="none" w:sz="0" w:space="0" w:color="auto"/>
      </w:divBdr>
    </w:div>
    <w:div w:id="956646588">
      <w:bodyDiv w:val="1"/>
      <w:marLeft w:val="0"/>
      <w:marRight w:val="0"/>
      <w:marTop w:val="0"/>
      <w:marBottom w:val="0"/>
      <w:divBdr>
        <w:top w:val="none" w:sz="0" w:space="0" w:color="auto"/>
        <w:left w:val="none" w:sz="0" w:space="0" w:color="auto"/>
        <w:bottom w:val="none" w:sz="0" w:space="0" w:color="auto"/>
        <w:right w:val="none" w:sz="0" w:space="0" w:color="auto"/>
      </w:divBdr>
    </w:div>
    <w:div w:id="967590053">
      <w:bodyDiv w:val="1"/>
      <w:marLeft w:val="0"/>
      <w:marRight w:val="0"/>
      <w:marTop w:val="0"/>
      <w:marBottom w:val="0"/>
      <w:divBdr>
        <w:top w:val="none" w:sz="0" w:space="0" w:color="auto"/>
        <w:left w:val="none" w:sz="0" w:space="0" w:color="auto"/>
        <w:bottom w:val="none" w:sz="0" w:space="0" w:color="auto"/>
        <w:right w:val="none" w:sz="0" w:space="0" w:color="auto"/>
      </w:divBdr>
    </w:div>
    <w:div w:id="1086146690">
      <w:bodyDiv w:val="1"/>
      <w:marLeft w:val="0"/>
      <w:marRight w:val="0"/>
      <w:marTop w:val="0"/>
      <w:marBottom w:val="0"/>
      <w:divBdr>
        <w:top w:val="none" w:sz="0" w:space="0" w:color="auto"/>
        <w:left w:val="none" w:sz="0" w:space="0" w:color="auto"/>
        <w:bottom w:val="none" w:sz="0" w:space="0" w:color="auto"/>
        <w:right w:val="none" w:sz="0" w:space="0" w:color="auto"/>
      </w:divBdr>
    </w:div>
    <w:div w:id="1208639589">
      <w:bodyDiv w:val="1"/>
      <w:marLeft w:val="0"/>
      <w:marRight w:val="0"/>
      <w:marTop w:val="0"/>
      <w:marBottom w:val="0"/>
      <w:divBdr>
        <w:top w:val="none" w:sz="0" w:space="0" w:color="auto"/>
        <w:left w:val="none" w:sz="0" w:space="0" w:color="auto"/>
        <w:bottom w:val="none" w:sz="0" w:space="0" w:color="auto"/>
        <w:right w:val="none" w:sz="0" w:space="0" w:color="auto"/>
      </w:divBdr>
    </w:div>
    <w:div w:id="1287353113">
      <w:bodyDiv w:val="1"/>
      <w:marLeft w:val="0"/>
      <w:marRight w:val="0"/>
      <w:marTop w:val="0"/>
      <w:marBottom w:val="0"/>
      <w:divBdr>
        <w:top w:val="none" w:sz="0" w:space="0" w:color="auto"/>
        <w:left w:val="none" w:sz="0" w:space="0" w:color="auto"/>
        <w:bottom w:val="none" w:sz="0" w:space="0" w:color="auto"/>
        <w:right w:val="none" w:sz="0" w:space="0" w:color="auto"/>
      </w:divBdr>
    </w:div>
    <w:div w:id="1289125559">
      <w:bodyDiv w:val="1"/>
      <w:marLeft w:val="0"/>
      <w:marRight w:val="0"/>
      <w:marTop w:val="0"/>
      <w:marBottom w:val="0"/>
      <w:divBdr>
        <w:top w:val="none" w:sz="0" w:space="0" w:color="auto"/>
        <w:left w:val="none" w:sz="0" w:space="0" w:color="auto"/>
        <w:bottom w:val="none" w:sz="0" w:space="0" w:color="auto"/>
        <w:right w:val="none" w:sz="0" w:space="0" w:color="auto"/>
      </w:divBdr>
    </w:div>
    <w:div w:id="1380595341">
      <w:bodyDiv w:val="1"/>
      <w:marLeft w:val="0"/>
      <w:marRight w:val="0"/>
      <w:marTop w:val="0"/>
      <w:marBottom w:val="0"/>
      <w:divBdr>
        <w:top w:val="none" w:sz="0" w:space="0" w:color="auto"/>
        <w:left w:val="none" w:sz="0" w:space="0" w:color="auto"/>
        <w:bottom w:val="none" w:sz="0" w:space="0" w:color="auto"/>
        <w:right w:val="none" w:sz="0" w:space="0" w:color="auto"/>
      </w:divBdr>
    </w:div>
    <w:div w:id="1385375034">
      <w:bodyDiv w:val="1"/>
      <w:marLeft w:val="0"/>
      <w:marRight w:val="0"/>
      <w:marTop w:val="0"/>
      <w:marBottom w:val="0"/>
      <w:divBdr>
        <w:top w:val="none" w:sz="0" w:space="0" w:color="auto"/>
        <w:left w:val="none" w:sz="0" w:space="0" w:color="auto"/>
        <w:bottom w:val="none" w:sz="0" w:space="0" w:color="auto"/>
        <w:right w:val="none" w:sz="0" w:space="0" w:color="auto"/>
      </w:divBdr>
    </w:div>
    <w:div w:id="1452748267">
      <w:bodyDiv w:val="1"/>
      <w:marLeft w:val="0"/>
      <w:marRight w:val="0"/>
      <w:marTop w:val="0"/>
      <w:marBottom w:val="0"/>
      <w:divBdr>
        <w:top w:val="none" w:sz="0" w:space="0" w:color="auto"/>
        <w:left w:val="none" w:sz="0" w:space="0" w:color="auto"/>
        <w:bottom w:val="none" w:sz="0" w:space="0" w:color="auto"/>
        <w:right w:val="none" w:sz="0" w:space="0" w:color="auto"/>
      </w:divBdr>
    </w:div>
    <w:div w:id="1460805736">
      <w:bodyDiv w:val="1"/>
      <w:marLeft w:val="0"/>
      <w:marRight w:val="0"/>
      <w:marTop w:val="0"/>
      <w:marBottom w:val="0"/>
      <w:divBdr>
        <w:top w:val="none" w:sz="0" w:space="0" w:color="auto"/>
        <w:left w:val="none" w:sz="0" w:space="0" w:color="auto"/>
        <w:bottom w:val="none" w:sz="0" w:space="0" w:color="auto"/>
        <w:right w:val="none" w:sz="0" w:space="0" w:color="auto"/>
      </w:divBdr>
    </w:div>
    <w:div w:id="1475247958">
      <w:bodyDiv w:val="1"/>
      <w:marLeft w:val="0"/>
      <w:marRight w:val="0"/>
      <w:marTop w:val="0"/>
      <w:marBottom w:val="0"/>
      <w:divBdr>
        <w:top w:val="none" w:sz="0" w:space="0" w:color="auto"/>
        <w:left w:val="none" w:sz="0" w:space="0" w:color="auto"/>
        <w:bottom w:val="none" w:sz="0" w:space="0" w:color="auto"/>
        <w:right w:val="none" w:sz="0" w:space="0" w:color="auto"/>
      </w:divBdr>
    </w:div>
    <w:div w:id="1580364046">
      <w:bodyDiv w:val="1"/>
      <w:marLeft w:val="0"/>
      <w:marRight w:val="0"/>
      <w:marTop w:val="0"/>
      <w:marBottom w:val="0"/>
      <w:divBdr>
        <w:top w:val="none" w:sz="0" w:space="0" w:color="auto"/>
        <w:left w:val="none" w:sz="0" w:space="0" w:color="auto"/>
        <w:bottom w:val="none" w:sz="0" w:space="0" w:color="auto"/>
        <w:right w:val="none" w:sz="0" w:space="0" w:color="auto"/>
      </w:divBdr>
    </w:div>
    <w:div w:id="1675953931">
      <w:bodyDiv w:val="1"/>
      <w:marLeft w:val="0"/>
      <w:marRight w:val="0"/>
      <w:marTop w:val="0"/>
      <w:marBottom w:val="0"/>
      <w:divBdr>
        <w:top w:val="none" w:sz="0" w:space="0" w:color="auto"/>
        <w:left w:val="none" w:sz="0" w:space="0" w:color="auto"/>
        <w:bottom w:val="none" w:sz="0" w:space="0" w:color="auto"/>
        <w:right w:val="none" w:sz="0" w:space="0" w:color="auto"/>
      </w:divBdr>
    </w:div>
    <w:div w:id="1850293788">
      <w:bodyDiv w:val="1"/>
      <w:marLeft w:val="0"/>
      <w:marRight w:val="0"/>
      <w:marTop w:val="0"/>
      <w:marBottom w:val="0"/>
      <w:divBdr>
        <w:top w:val="none" w:sz="0" w:space="0" w:color="auto"/>
        <w:left w:val="none" w:sz="0" w:space="0" w:color="auto"/>
        <w:bottom w:val="none" w:sz="0" w:space="0" w:color="auto"/>
        <w:right w:val="none" w:sz="0" w:space="0" w:color="auto"/>
      </w:divBdr>
    </w:div>
    <w:div w:id="1889102292">
      <w:bodyDiv w:val="1"/>
      <w:marLeft w:val="0"/>
      <w:marRight w:val="0"/>
      <w:marTop w:val="0"/>
      <w:marBottom w:val="0"/>
      <w:divBdr>
        <w:top w:val="none" w:sz="0" w:space="0" w:color="auto"/>
        <w:left w:val="none" w:sz="0" w:space="0" w:color="auto"/>
        <w:bottom w:val="none" w:sz="0" w:space="0" w:color="auto"/>
        <w:right w:val="none" w:sz="0" w:space="0" w:color="auto"/>
      </w:divBdr>
    </w:div>
    <w:div w:id="1956448005">
      <w:bodyDiv w:val="1"/>
      <w:marLeft w:val="0"/>
      <w:marRight w:val="0"/>
      <w:marTop w:val="0"/>
      <w:marBottom w:val="0"/>
      <w:divBdr>
        <w:top w:val="none" w:sz="0" w:space="0" w:color="auto"/>
        <w:left w:val="none" w:sz="0" w:space="0" w:color="auto"/>
        <w:bottom w:val="none" w:sz="0" w:space="0" w:color="auto"/>
        <w:right w:val="none" w:sz="0" w:space="0" w:color="auto"/>
      </w:divBdr>
    </w:div>
    <w:div w:id="2132900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b.se/en/services/ordering-data-and-statistics/microdata/" TargetMode="External"/><Relationship Id="rId13" Type="http://schemas.openxmlformats.org/officeDocument/2006/relationships/hyperlink" Target="https://www.imy.se/privatperson/dataskydd/introduktion-till-gdpr/vad-ar-personuppgifter/kansliga-personuppgifter/" TargetMode="External"/><Relationship Id="rId18" Type="http://schemas.openxmlformats.org/officeDocument/2006/relationships/hyperlink" Target="https://www.scb.se/en/services/ordering-data-and-statistics/microdata/mona--statistics-swedens-platform-for-access-to-microdata/rules-and-regulations/terms-of-use/" TargetMode="External"/><Relationship Id="rId3" Type="http://schemas.openxmlformats.org/officeDocument/2006/relationships/styles" Target="styles.xml"/><Relationship Id="rId21" Type="http://schemas.openxmlformats.org/officeDocument/2006/relationships/hyperlink" Target="https://www.scb.se/hitta-statistik/artiklar/2017/Rojandekontroll--viktig-for-statistikens-kvalitet/" TargetMode="External"/><Relationship Id="rId7" Type="http://schemas.openxmlformats.org/officeDocument/2006/relationships/endnotes" Target="endnotes.xml"/><Relationship Id="rId12" Type="http://schemas.openxmlformats.org/officeDocument/2006/relationships/hyperlink" Target="https://www.scb.se/vara-tjanster/bestall-data-och-statistik/mikrodata/infor-din-bestallning/vad-tittar-scb-efter-i-etikansokan/" TargetMode="External"/><Relationship Id="rId17" Type="http://schemas.openxmlformats.org/officeDocument/2006/relationships/hyperlink" Target="https://www.scb.se/contentassets/36c49273ef8d4db8a0e2e240510a9a0f/handledning_eng_20231025.pd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scb.se/vara-tjanster/bestall-data-och-statistik/mikrodata/infor-din-bestallning/sekretessprovning/" TargetMode="External"/><Relationship Id="rId20" Type="http://schemas.openxmlformats.org/officeDocument/2006/relationships/hyperlink" Target="https://www.scb.se/contentassets/36c49273ef8d4db8a0e2e240510a9a0f/handledning_eng_20231025.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b.se/vara-tjanster/bestall-data-och-statistik/mikrodata/bestalla-mikrodata/"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lu.se/globalassets/mw/stod-serv/juridik/public-access-to-information-and-secrecy-act-folder.pdf" TargetMode="External"/><Relationship Id="rId23" Type="http://schemas.openxmlformats.org/officeDocument/2006/relationships/hyperlink" Target="mailto:mikrodata@scb.se" TargetMode="External"/><Relationship Id="rId10" Type="http://schemas.openxmlformats.org/officeDocument/2006/relationships/hyperlink" Target="https://www.scb.se/vara-tjanster/bestall-data-och-statistik/mikrodata/infor-din-bestallning/" TargetMode="External"/><Relationship Id="rId19" Type="http://schemas.openxmlformats.org/officeDocument/2006/relationships/hyperlink" Target="https://www.scb.se/en/services/ordering-data-and-statistics/microdata/mona--statistics-swedens-platform-for-access-to-microdata/rules-and-regulations/" TargetMode="External"/><Relationship Id="rId4" Type="http://schemas.openxmlformats.org/officeDocument/2006/relationships/settings" Target="settings.xml"/><Relationship Id="rId9" Type="http://schemas.openxmlformats.org/officeDocument/2006/relationships/hyperlink" Target="https://www.scb.se/vara-tjanster/bestall-data-och-statistik/register/" TargetMode="External"/><Relationship Id="rId14" Type="http://schemas.openxmlformats.org/officeDocument/2006/relationships/hyperlink" Target="https://etikprovningsmyndigheten.se/en/" TargetMode="External"/><Relationship Id="rId22" Type="http://schemas.openxmlformats.org/officeDocument/2006/relationships/hyperlink" Target="https://www.scb.se/contentassets/0cd92207266d40eb8829244d51d90b94/handbok-i-statistisk-rojandekontroll.pdf"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scb.se/contentassets/0cd92207266d40eb8829244d51d90b94/handbok-i-statistisk-rojandekontrol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05928-7996-4830-9F9B-92FD0677E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13</Pages>
  <Words>5682</Words>
  <Characters>32394</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Lombardi Stefano (VATT)</dc:creator>
  <cp:keywords/>
  <dc:description/>
  <cp:lastModifiedBy>Lombardi Stefano (VATT)</cp:lastModifiedBy>
  <cp:revision>80</cp:revision>
  <dcterms:created xsi:type="dcterms:W3CDTF">2024-05-02T06:21:00Z</dcterms:created>
  <dcterms:modified xsi:type="dcterms:W3CDTF">2024-11-19T15:16:00Z</dcterms:modified>
</cp:coreProperties>
</file>