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47B6" w14:textId="34A605DC" w:rsidR="00B565AE" w:rsidRPr="005B599E" w:rsidRDefault="005B599E" w:rsidP="00B565AE">
      <w:pPr>
        <w:spacing w:after="0" w:line="48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B599E">
        <w:rPr>
          <w:rFonts w:ascii="Times New Roman" w:hAnsi="Times New Roman" w:cs="Times New Roman"/>
          <w:b/>
          <w:bCs/>
          <w:lang w:val="en-US"/>
        </w:rPr>
        <w:t>TABLES WITH DATA OF FIGURES 6 and 7</w:t>
      </w:r>
    </w:p>
    <w:p w14:paraId="2DFAAC5E" w14:textId="77777777" w:rsidR="00B565AE" w:rsidRDefault="00B565AE">
      <w:pPr>
        <w:pStyle w:val="SemEspaamento"/>
        <w:rPr>
          <w:bCs/>
          <w:highlight w:val="yellow"/>
        </w:rPr>
      </w:pPr>
    </w:p>
    <w:p w14:paraId="15AD0133" w14:textId="6C74C904" w:rsidR="00187763" w:rsidRPr="005B599E" w:rsidRDefault="00000000">
      <w:pPr>
        <w:pStyle w:val="SemEspaamento"/>
      </w:pPr>
      <w:r w:rsidRPr="005B599E">
        <w:rPr>
          <w:bCs/>
        </w:rPr>
        <w:t>Table</w:t>
      </w:r>
      <w:r w:rsidRPr="005B599E">
        <w:t xml:space="preserve"> – </w:t>
      </w:r>
      <w:bookmarkStart w:id="0" w:name="_Hlk164220070"/>
      <w:r w:rsidRPr="005B599E">
        <w:t xml:space="preserve">SR/MSR </w:t>
      </w:r>
      <w:r w:rsidRPr="005B599E">
        <w:rPr>
          <w:rFonts w:eastAsiaTheme="minorEastAsia"/>
        </w:rPr>
        <w:t>of each base classifier and of the MLP (meta-classifier)</w:t>
      </w:r>
      <w:bookmarkEnd w:id="0"/>
      <w:r w:rsidRPr="005B599E">
        <w:rPr>
          <w:rFonts w:eastAsiaTheme="minorEastAsia"/>
        </w:rPr>
        <w:t xml:space="preserve"> – network A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5B599E" w14:paraId="2E16B05B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913C9E9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735C074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64250B4D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5B599E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2F7371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436CBA86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5B599E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3C85EA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55EA36AD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5B599E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5406E6E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63D934CC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5B599E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5B599E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5B599E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ECB50DA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78E96D65" w14:textId="77777777" w:rsidR="00187763" w:rsidRPr="005B599E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5B599E" w14:paraId="18EFFC31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865DB" w14:textId="77777777" w:rsidR="00E3010B" w:rsidRPr="005B599E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85163" w14:textId="14639A07" w:rsidR="00E3010B" w:rsidRPr="005B599E" w:rsidRDefault="003E0AA5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6F9BE" w14:textId="4BDCA08B" w:rsidR="00E3010B" w:rsidRPr="005B599E" w:rsidRDefault="003E0AA5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279908" w14:textId="46DFE942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</w:t>
            </w:r>
            <w:r w:rsidR="003E0A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6ABCA" w14:textId="20F8FEF3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</w:t>
            </w:r>
            <w:r w:rsidR="003E0A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991CBA" w14:textId="50557A44" w:rsidR="00E3010B" w:rsidRPr="005B599E" w:rsidRDefault="003E0AA5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E3010B" w:rsidRPr="005B599E" w14:paraId="109B7ECD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9793" w14:textId="77777777" w:rsidR="00E3010B" w:rsidRPr="005B599E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5B599E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85CFF3" w14:textId="6A319CBF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41.34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7662F" w14:textId="07ABE331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67.17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67E8CD" w14:textId="35EC5FB0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16.80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ABE24" w14:textId="03ED77BA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3D315C" w14:textId="30699752" w:rsidR="00E3010B" w:rsidRPr="005B599E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5B599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41.58</w:t>
            </w:r>
          </w:p>
        </w:tc>
      </w:tr>
      <w:tr w:rsidR="00E3010B" w:rsidRPr="00001A52" w14:paraId="6CB61AFB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C32EC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A6745" w14:textId="4FAA2ED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F88C3F" w14:textId="3A9F8B5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291FFC" w14:textId="56FCBD5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CCAE2" w14:textId="13B7621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00CC2" w14:textId="43ACC385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2.91</w:t>
            </w:r>
          </w:p>
        </w:tc>
      </w:tr>
      <w:tr w:rsidR="00E3010B" w:rsidRPr="00001A52" w14:paraId="79561D5E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360B58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5DE1B2" w14:textId="7DFA223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84260" w14:textId="77143FE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7.38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75F7A" w14:textId="2A24A5B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695E1" w14:textId="41ACCA1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081F3" w14:textId="1527FE7E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3.08</w:t>
            </w:r>
          </w:p>
        </w:tc>
      </w:tr>
      <w:tr w:rsidR="00001A52" w:rsidRPr="00001A52" w14:paraId="1140A131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7B19F89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4424114" w14:textId="73EB85E2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51.10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CC79547" w14:textId="11466877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76.89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FB685C1" w14:textId="23C37BCB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26.17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8362976" w14:textId="0FD46225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59.41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E16084" w14:textId="7DA9A658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53.39</w:t>
            </w:r>
          </w:p>
        </w:tc>
      </w:tr>
    </w:tbl>
    <w:p w14:paraId="77748461" w14:textId="77777777" w:rsidR="00187763" w:rsidRPr="00001A52" w:rsidRDefault="0018776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C076430" w14:textId="4834639D" w:rsidR="00187763" w:rsidRPr="00001A52" w:rsidRDefault="00000000">
      <w:pPr>
        <w:pStyle w:val="SemEspaamento"/>
        <w:rPr>
          <w:sz w:val="20"/>
          <w:szCs w:val="20"/>
        </w:rPr>
      </w:pPr>
      <w:r w:rsidRPr="00001A52">
        <w:rPr>
          <w:bCs/>
          <w:sz w:val="20"/>
          <w:szCs w:val="20"/>
        </w:rPr>
        <w:t>Table</w:t>
      </w:r>
      <w:r w:rsidRPr="00001A52">
        <w:rPr>
          <w:sz w:val="20"/>
          <w:szCs w:val="20"/>
        </w:rPr>
        <w:t xml:space="preserve"> – SR/MSR </w:t>
      </w:r>
      <w:r w:rsidRPr="00001A52">
        <w:rPr>
          <w:rFonts w:eastAsiaTheme="minorEastAsia"/>
          <w:sz w:val="20"/>
          <w:szCs w:val="20"/>
        </w:rPr>
        <w:t>of each base classifier and of the MLP (meta-classifier) – network B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001A52" w14:paraId="3FC08A7C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9B7574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0F5D230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618D3641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674C03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72DBADE2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AAAA0A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5E4A3F70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7084A0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349CDF45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E1830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60628CCD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001A52" w14:paraId="3D30BCB0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8D9F92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F8CCA" w14:textId="11AA27B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8F8AC" w14:textId="2C1F604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8CFC7" w14:textId="165715F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7D158" w14:textId="21FFC8DB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704D1" w14:textId="06CCA78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</w:tr>
      <w:tr w:rsidR="00E3010B" w:rsidRPr="00001A52" w14:paraId="53DD80CD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C381F5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D5B90" w14:textId="1CB61E7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28.79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8E68B2" w14:textId="7C938DD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58.79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535625" w14:textId="4507EB0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CAF58" w14:textId="3AD51E7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31.69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F9E01" w14:textId="7737D72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31.79</w:t>
            </w:r>
          </w:p>
        </w:tc>
      </w:tr>
      <w:tr w:rsidR="00E3010B" w:rsidRPr="00001A52" w14:paraId="15CB966C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31CCC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4C6A1" w14:textId="7820D18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4E688" w14:textId="3AB19833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CB34B" w14:textId="177B9F3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4.16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70D74" w14:textId="772035C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BE061" w14:textId="2940063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</w:t>
            </w:r>
          </w:p>
        </w:tc>
      </w:tr>
      <w:tr w:rsidR="00E3010B" w:rsidRPr="00001A52" w14:paraId="70A22DC4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67504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3F4BF" w14:textId="2240524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23.47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0F223" w14:textId="0EA2071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33.55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6361B" w14:textId="3924A93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67A5B" w14:textId="7B67E88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0D904" w14:textId="1EC988F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17.39</w:t>
            </w:r>
          </w:p>
        </w:tc>
      </w:tr>
      <w:tr w:rsidR="00001A52" w:rsidRPr="00001A52" w14:paraId="0F0081EE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C2A4B4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E354176" w14:textId="60FA86A9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43.77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1D5549" w14:textId="39E6B491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71.83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C5DB074" w14:textId="2EBDE578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17.90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147314C" w14:textId="4877A93D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51.80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3B24D4" w14:textId="0A7C886B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46.33</w:t>
            </w:r>
          </w:p>
        </w:tc>
      </w:tr>
    </w:tbl>
    <w:p w14:paraId="218541AF" w14:textId="77777777" w:rsidR="00187763" w:rsidRPr="00001A52" w:rsidRDefault="0018776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1035A63A" w14:textId="16ECB46C" w:rsidR="00187763" w:rsidRPr="00001A52" w:rsidRDefault="00000000">
      <w:pPr>
        <w:pStyle w:val="SemEspaamento"/>
        <w:rPr>
          <w:sz w:val="20"/>
          <w:szCs w:val="20"/>
        </w:rPr>
      </w:pPr>
      <w:r w:rsidRPr="00001A52">
        <w:rPr>
          <w:bCs/>
          <w:sz w:val="20"/>
          <w:szCs w:val="20"/>
        </w:rPr>
        <w:t>Table</w:t>
      </w:r>
      <w:r w:rsidRPr="00001A52">
        <w:rPr>
          <w:sz w:val="20"/>
          <w:szCs w:val="20"/>
        </w:rPr>
        <w:t xml:space="preserve"> – SR/MSR </w:t>
      </w:r>
      <w:r w:rsidRPr="00001A52">
        <w:rPr>
          <w:rFonts w:eastAsiaTheme="minorEastAsia"/>
          <w:sz w:val="20"/>
          <w:szCs w:val="20"/>
        </w:rPr>
        <w:t>of each base classifier and of the MLP (meta-classifier) – network C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001A52" w14:paraId="2D2BE4BF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36B5C4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EE810F8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37DFE22C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F470ED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169CFDC1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FBF9DCC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151555EE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8E557D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657287EE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5D5A879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20AD2331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001A52" w14:paraId="7225BEEE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33FB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DC754" w14:textId="68D7518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.5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749C42" w14:textId="5E24FEC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.2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B7967" w14:textId="641AB71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D2DB2" w14:textId="61A1F9D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EF83B" w14:textId="43EFE21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</w:tr>
      <w:tr w:rsidR="00E3010B" w:rsidRPr="00001A52" w14:paraId="37921D0F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1AA5F3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D2DEC" w14:textId="673CD0D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31.37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79DFB" w14:textId="28AE508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62.60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4B213" w14:textId="0B073A3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06189" w14:textId="305A74A3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37.78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AAE6B" w14:textId="49CA156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35.38</w:t>
            </w:r>
          </w:p>
        </w:tc>
      </w:tr>
      <w:tr w:rsidR="00E3010B" w:rsidRPr="00001A52" w14:paraId="07BA6340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18849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64F6E" w14:textId="6BA5109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14.49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212FE" w14:textId="3FB2D37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F608E" w14:textId="7372E65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80FF5" w14:textId="042CDF3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92B2F" w14:textId="0680F3C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6.55</w:t>
            </w:r>
          </w:p>
        </w:tc>
      </w:tr>
      <w:tr w:rsidR="00E3010B" w:rsidRPr="00001A52" w14:paraId="233FB321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7E3212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38945" w14:textId="4AF67F25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33.18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606C4" w14:textId="44A39D3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55.23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E59DC" w14:textId="7F8EFF3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9.28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9F96E" w14:textId="12A2A42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25.80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72C6C1" w14:textId="5DADB33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30.87</w:t>
            </w:r>
          </w:p>
        </w:tc>
      </w:tr>
      <w:tr w:rsidR="00001A52" w:rsidRPr="00001A52" w14:paraId="3B05CE6B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C7CABC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4B96EA7" w14:textId="15A370A8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44.91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8D6ED22" w14:textId="500E46EA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72.30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85423D8" w14:textId="35A1E09C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19.21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EEFDDEC" w14:textId="1686A374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53.57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219961" w14:textId="2205FB00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47.50</w:t>
            </w:r>
          </w:p>
        </w:tc>
      </w:tr>
    </w:tbl>
    <w:p w14:paraId="68CCB0D8" w14:textId="77777777" w:rsidR="00187763" w:rsidRPr="00001A52" w:rsidRDefault="0018776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0FA93460" w14:textId="4E39BFE5" w:rsidR="00187763" w:rsidRPr="00001A52" w:rsidRDefault="00000000">
      <w:pPr>
        <w:pStyle w:val="SemEspaamento"/>
        <w:rPr>
          <w:sz w:val="20"/>
          <w:szCs w:val="20"/>
        </w:rPr>
      </w:pPr>
      <w:r w:rsidRPr="00001A52">
        <w:rPr>
          <w:bCs/>
          <w:sz w:val="20"/>
          <w:szCs w:val="20"/>
        </w:rPr>
        <w:t>Table</w:t>
      </w:r>
      <w:r w:rsidRPr="00001A52">
        <w:rPr>
          <w:sz w:val="20"/>
          <w:szCs w:val="20"/>
        </w:rPr>
        <w:t xml:space="preserve"> – SR/MSR </w:t>
      </w:r>
      <w:r w:rsidRPr="00001A52">
        <w:rPr>
          <w:rFonts w:eastAsiaTheme="minorEastAsia"/>
          <w:sz w:val="20"/>
          <w:szCs w:val="20"/>
        </w:rPr>
        <w:t>of each base classifier and of the MLP (meta-classifier) – network D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001A52" w14:paraId="6D0A0B3B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4AFB8C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A11E4B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4C142DCA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D2D72AD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13953DF4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F766AB8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5CE8EDB5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EF422ED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26ECC6B3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8F8A61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71BCA4C5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001A52" w14:paraId="3AD20D9F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DC567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ADAB4" w14:textId="2C1CAD0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46.14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526DF" w14:textId="0C8FC93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81.91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1200A" w14:textId="732B39B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18.5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F6F01A" w14:textId="4BE4E2FE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618CB" w14:textId="39C7AA9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51.5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E3010B" w:rsidRPr="00001A52" w14:paraId="059A926A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15991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B5CA1E" w14:textId="4FAA1C3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36.93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17D4D0" w14:textId="75652C1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77.35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C0954" w14:textId="3FCED11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EA639" w14:textId="379D8A3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57.62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B8FDA" w14:textId="13A4FD3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46.41</w:t>
            </w:r>
          </w:p>
        </w:tc>
      </w:tr>
      <w:tr w:rsidR="00E3010B" w:rsidRPr="00001A52" w14:paraId="20C95262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F957F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6EA54" w14:textId="28F9BC73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15.06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84D0A" w14:textId="37033645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3.62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05F22" w14:textId="3A429871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E87C5" w14:textId="30DBC06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B8A66" w14:textId="5F34F9F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7.46</w:t>
            </w:r>
          </w:p>
        </w:tc>
      </w:tr>
      <w:tr w:rsidR="00E3010B" w:rsidRPr="00001A52" w14:paraId="0D3B155A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A3F95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29FF" w14:textId="0E7920A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46.17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55E093" w14:textId="2143F8D3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81.97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51F14" w14:textId="645FB38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18.34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5F42A" w14:textId="0A68F2A3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59.00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04EE69" w14:textId="2E320875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51.37</w:t>
            </w:r>
          </w:p>
        </w:tc>
      </w:tr>
      <w:tr w:rsidR="00001A52" w:rsidRPr="00001A52" w14:paraId="29225C9E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EAEE40E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6FB612" w14:textId="79E936B9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46.18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6A880DF" w14:textId="31601F73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79.60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964A48F" w14:textId="47523C2B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20.28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509C89B" w14:textId="4AC63D05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62.00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361C72A" w14:textId="0564D0C3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52.02</w:t>
            </w:r>
          </w:p>
        </w:tc>
      </w:tr>
    </w:tbl>
    <w:p w14:paraId="2647E261" w14:textId="77777777" w:rsidR="00187763" w:rsidRPr="00001A52" w:rsidRDefault="0018776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2EC479EF" w14:textId="1F49C267" w:rsidR="00187763" w:rsidRPr="00001A52" w:rsidRDefault="00000000">
      <w:pPr>
        <w:pStyle w:val="SemEspaamento"/>
        <w:rPr>
          <w:sz w:val="20"/>
          <w:szCs w:val="20"/>
        </w:rPr>
      </w:pPr>
      <w:r w:rsidRPr="00001A52">
        <w:rPr>
          <w:bCs/>
          <w:sz w:val="20"/>
          <w:szCs w:val="20"/>
        </w:rPr>
        <w:t>Table</w:t>
      </w:r>
      <w:r w:rsidRPr="00001A52">
        <w:rPr>
          <w:sz w:val="20"/>
          <w:szCs w:val="20"/>
        </w:rPr>
        <w:t xml:space="preserve"> – SR/MSR </w:t>
      </w:r>
      <w:r w:rsidRPr="00001A52">
        <w:rPr>
          <w:rFonts w:eastAsiaTheme="minorEastAsia"/>
          <w:sz w:val="20"/>
          <w:szCs w:val="20"/>
        </w:rPr>
        <w:t>of each base classifier and of the MLP (meta-classifier) – network E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001A52" w14:paraId="17FE1D0D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867F5F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CD1262B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3EB2247A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2E2287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2BEF7674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9FF8B7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40153D47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9DC9A7F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6F1FBB79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F67F9C8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42E64BFE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001A52" w14:paraId="3F1DBF2B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D4408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7A53F" w14:textId="76FBE7D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51.90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B4086" w14:textId="47C884EB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88.13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717F7" w14:textId="7E53ED0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24.44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F3CEB" w14:textId="0725E4B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73.9</w:t>
            </w:r>
            <w:r w:rsidR="003E0AA5"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0C337" w14:textId="2FB2248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59.61</w:t>
            </w:r>
          </w:p>
        </w:tc>
      </w:tr>
      <w:tr w:rsidR="00E3010B" w:rsidRPr="00001A52" w14:paraId="644C249E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BA094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8C3684" w14:textId="321EBD7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41.08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43D66" w14:textId="1036CF19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81.70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84248F" w14:textId="0200465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16.90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B45C2" w14:textId="56CF8D5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65.34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00C14" w14:textId="54C9CE6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51.26</w:t>
            </w:r>
          </w:p>
        </w:tc>
      </w:tr>
      <w:tr w:rsidR="00E3010B" w:rsidRPr="00001A52" w14:paraId="779B4289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5BAEE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12E21" w14:textId="6E81762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14.96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37086" w14:textId="3A38703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07190" w14:textId="59E4FCC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3.31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17395" w14:textId="76FE75D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C05E7" w14:textId="67DE576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7.94</w:t>
            </w:r>
          </w:p>
        </w:tc>
      </w:tr>
      <w:tr w:rsidR="00E3010B" w:rsidRPr="00001A52" w14:paraId="68B89F7F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5476E3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19258" w14:textId="3F51DF9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51.93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8166D" w14:textId="32939C5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88.20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5959" w14:textId="5907C21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24.22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D67A6" w14:textId="679197E2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73.43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E2D9D" w14:textId="6581E6A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59.45</w:t>
            </w:r>
          </w:p>
        </w:tc>
      </w:tr>
      <w:tr w:rsidR="00001A52" w:rsidRPr="00001A52" w14:paraId="0CE5D35A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BC593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D67443C" w14:textId="02BF6416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51.80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DB1959A" w14:textId="5E9D4E64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87.40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C50CB1" w14:textId="35B27045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25.37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848A51" w14:textId="5A57CC83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74.12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BAF8C1" w14:textId="3D8EBEEF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59.67</w:t>
            </w:r>
          </w:p>
        </w:tc>
      </w:tr>
    </w:tbl>
    <w:p w14:paraId="67E9ED93" w14:textId="77777777" w:rsidR="00187763" w:rsidRPr="00001A52" w:rsidRDefault="00187763">
      <w:pPr>
        <w:spacing w:after="0" w:line="48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144BFDFE" w14:textId="1DF30EF5" w:rsidR="00187763" w:rsidRPr="00001A52" w:rsidRDefault="00000000">
      <w:pPr>
        <w:pStyle w:val="SemEspaamento"/>
        <w:rPr>
          <w:sz w:val="20"/>
          <w:szCs w:val="20"/>
        </w:rPr>
      </w:pPr>
      <w:r w:rsidRPr="00001A52">
        <w:rPr>
          <w:bCs/>
          <w:sz w:val="20"/>
          <w:szCs w:val="20"/>
        </w:rPr>
        <w:t>Table</w:t>
      </w:r>
      <w:r w:rsidRPr="00001A52">
        <w:rPr>
          <w:sz w:val="20"/>
          <w:szCs w:val="20"/>
        </w:rPr>
        <w:t xml:space="preserve"> – SR/MSR </w:t>
      </w:r>
      <w:r w:rsidRPr="00001A52">
        <w:rPr>
          <w:rFonts w:eastAsiaTheme="minorEastAsia"/>
          <w:sz w:val="20"/>
          <w:szCs w:val="20"/>
        </w:rPr>
        <w:t>of each base classifier and of the MLP (meta-classifier) – network F</w:t>
      </w:r>
    </w:p>
    <w:tbl>
      <w:tblPr>
        <w:tblStyle w:val="Tabelacomgrade"/>
        <w:tblW w:w="7410" w:type="dxa"/>
        <w:jc w:val="center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1297"/>
        <w:gridCol w:w="1127"/>
        <w:gridCol w:w="1124"/>
        <w:gridCol w:w="1353"/>
        <w:gridCol w:w="1351"/>
        <w:gridCol w:w="1158"/>
      </w:tblGrid>
      <w:tr w:rsidR="00187763" w:rsidRPr="00001A52" w14:paraId="41AA45C0" w14:textId="77777777" w:rsidTr="00E3010B">
        <w:trPr>
          <w:trHeight w:val="225"/>
          <w:jc w:val="center"/>
        </w:trPr>
        <w:tc>
          <w:tcPr>
            <w:tcW w:w="129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5BA7BB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Classifier</w:t>
            </w:r>
          </w:p>
        </w:tc>
        <w:tc>
          <w:tcPr>
            <w:tcW w:w="112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13E7C16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652B38F3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bookmarkStart w:id="1" w:name="_Hlk137287433"/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bookmarkEnd w:id="1"/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2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6349DC4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1 outlier</w:t>
            </w:r>
          </w:p>
          <w:p w14:paraId="6B9539B9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D46006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2C749CB9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35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AD372F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2 outliers</w:t>
            </w:r>
          </w:p>
          <w:p w14:paraId="602AAE9C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lang w:val="en-US"/>
              </w:rPr>
              <w:t>-</w:t>
            </w:r>
            <w:r w:rsidRPr="00001A52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</w:rPr>
              <w:t>σ</w:t>
            </w:r>
            <w:proofErr w:type="spellStart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  <w:r w:rsidRPr="00001A52">
              <w:rPr>
                <w:rFonts w:ascii="Times New Roman" w:eastAsia="Calibri" w:hAnsi="Times New Roman" w:cs="Times New Roman"/>
                <w:b/>
                <w:i/>
                <w:iCs/>
                <w:sz w:val="20"/>
                <w:szCs w:val="20"/>
                <w:vertAlign w:val="subscript"/>
                <w:lang w:val="en-US"/>
              </w:rPr>
              <w:t xml:space="preserve"> </w:t>
            </w:r>
            <w:r w:rsidRPr="00001A52"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  <w:lang w:val="en-US"/>
              </w:rPr>
              <w:t>(%)</w:t>
            </w:r>
          </w:p>
        </w:tc>
        <w:tc>
          <w:tcPr>
            <w:tcW w:w="11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797AC6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MSR</w:t>
            </w:r>
          </w:p>
          <w:p w14:paraId="2F67F18C" w14:textId="77777777" w:rsidR="00187763" w:rsidRPr="00001A52" w:rsidRDefault="00000000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b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b/>
                <w:sz w:val="20"/>
                <w:szCs w:val="20"/>
                <w:lang w:val="pt-PT"/>
              </w:rPr>
              <w:t>(%)</w:t>
            </w:r>
          </w:p>
        </w:tc>
      </w:tr>
      <w:tr w:rsidR="00E3010B" w:rsidRPr="00001A52" w14:paraId="77BC59A4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42B1F0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IDS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12033" w14:textId="335F4EDA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56.22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D2077" w14:textId="1EB1B19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92.65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34A32" w14:textId="2E0E35A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30.37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25F9E" w14:textId="61E58475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84.65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B0931" w14:textId="44C82F1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65.97</w:t>
            </w:r>
          </w:p>
        </w:tc>
      </w:tr>
      <w:tr w:rsidR="00E3010B" w:rsidRPr="00001A52" w14:paraId="6F85C99B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7D54D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4EB408" w14:textId="33C6C54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42.58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D4E34" w14:textId="4A50F87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84.27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DFCAE" w14:textId="5C5BA086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18.85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374A0" w14:textId="620E9AE7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71.21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E2106" w14:textId="32A2847E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54.23</w:t>
            </w:r>
          </w:p>
        </w:tc>
      </w:tr>
      <w:tr w:rsidR="00E3010B" w:rsidRPr="00001A52" w14:paraId="6E741214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424C2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MinL∞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32495" w14:textId="652D23B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F3695" w14:textId="2D0ABE3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12.36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DAC6C" w14:textId="431D098D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3.67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C9137" w14:textId="5B50E984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BA6A0" w14:textId="15B0D1D0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8.32</w:t>
            </w:r>
          </w:p>
        </w:tc>
      </w:tr>
      <w:tr w:rsidR="00E3010B" w:rsidRPr="00001A52" w14:paraId="38E45927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E66DD1" w14:textId="77777777" w:rsidR="00E3010B" w:rsidRPr="00001A52" w:rsidRDefault="00E3010B" w:rsidP="00E3010B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SLRTMO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FE224" w14:textId="025B3DB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56.24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33242" w14:textId="28AB526B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92.71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BC3C6" w14:textId="53179E9F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30.15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26CCE" w14:textId="79D9DB28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84.14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4E78F" w14:textId="278B38FC" w:rsidR="00E3010B" w:rsidRPr="00001A52" w:rsidRDefault="00E3010B" w:rsidP="00E3010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65.81</w:t>
            </w:r>
          </w:p>
        </w:tc>
      </w:tr>
      <w:tr w:rsidR="00001A52" w:rsidRPr="00001A52" w14:paraId="49C346C2" w14:textId="77777777" w:rsidTr="00E3010B">
        <w:trPr>
          <w:trHeight w:val="244"/>
          <w:jc w:val="center"/>
        </w:trPr>
        <w:tc>
          <w:tcPr>
            <w:tcW w:w="129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3CFEEB" w14:textId="77777777" w:rsidR="00001A52" w:rsidRPr="00001A52" w:rsidRDefault="00001A52" w:rsidP="00001A52">
            <w:pPr>
              <w:pStyle w:val="Cabealho"/>
              <w:jc w:val="center"/>
              <w:rPr>
                <w:rStyle w:val="apple-converted-space"/>
                <w:rFonts w:ascii="Times New Roman" w:hAnsi="Times New Roman" w:cs="Times New Roman"/>
                <w:sz w:val="20"/>
                <w:szCs w:val="20"/>
                <w:lang w:val="pt-PT"/>
              </w:rPr>
            </w:pPr>
            <w:r w:rsidRPr="00001A52">
              <w:rPr>
                <w:rStyle w:val="apple-converted-space"/>
                <w:rFonts w:ascii="Times New Roman" w:eastAsia="Calibri" w:hAnsi="Times New Roman" w:cs="Times New Roman"/>
                <w:sz w:val="20"/>
                <w:szCs w:val="20"/>
                <w:lang w:val="pt-PT"/>
              </w:rPr>
              <w:t>MLP</w:t>
            </w:r>
          </w:p>
        </w:tc>
        <w:tc>
          <w:tcPr>
            <w:tcW w:w="112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0C375D" w14:textId="55CCD4DE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56.01</w:t>
            </w:r>
          </w:p>
        </w:tc>
        <w:tc>
          <w:tcPr>
            <w:tcW w:w="112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B4DB41" w14:textId="19D2773C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92.41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4C18BD" w14:textId="1CBD7B11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31.67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05DF97B" w14:textId="7075621C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84.78</w:t>
            </w:r>
          </w:p>
        </w:tc>
        <w:tc>
          <w:tcPr>
            <w:tcW w:w="115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38AFF5" w14:textId="0CFA8249" w:rsidR="00001A52" w:rsidRPr="00001A52" w:rsidRDefault="00001A52" w:rsidP="00001A5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shd w:val="clear" w:color="auto" w:fill="FFFF00"/>
              </w:rPr>
            </w:pPr>
            <w:r w:rsidRPr="00001A5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66.22</w:t>
            </w:r>
          </w:p>
        </w:tc>
      </w:tr>
    </w:tbl>
    <w:p w14:paraId="03D9CA64" w14:textId="58189F82" w:rsidR="00187763" w:rsidRDefault="00187763" w:rsidP="005B599E">
      <w:pPr>
        <w:spacing w:after="0" w:line="480" w:lineRule="auto"/>
        <w:jc w:val="both"/>
      </w:pPr>
    </w:p>
    <w:sectPr w:rsidR="00187763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12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athSymbols10-Regular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63"/>
    <w:rsid w:val="00001A52"/>
    <w:rsid w:val="0002312C"/>
    <w:rsid w:val="00076CA1"/>
    <w:rsid w:val="000E3588"/>
    <w:rsid w:val="00102C07"/>
    <w:rsid w:val="00187763"/>
    <w:rsid w:val="00193D67"/>
    <w:rsid w:val="001B3BDE"/>
    <w:rsid w:val="001B6F1D"/>
    <w:rsid w:val="001B7D31"/>
    <w:rsid w:val="00211A6C"/>
    <w:rsid w:val="0023461B"/>
    <w:rsid w:val="002519E5"/>
    <w:rsid w:val="002A098C"/>
    <w:rsid w:val="002D1E2E"/>
    <w:rsid w:val="0038040E"/>
    <w:rsid w:val="003E0AA5"/>
    <w:rsid w:val="003E2836"/>
    <w:rsid w:val="003E52CB"/>
    <w:rsid w:val="00401B43"/>
    <w:rsid w:val="00485A6F"/>
    <w:rsid w:val="004B5737"/>
    <w:rsid w:val="004C70DB"/>
    <w:rsid w:val="004E320A"/>
    <w:rsid w:val="004E704E"/>
    <w:rsid w:val="004F5535"/>
    <w:rsid w:val="005432EF"/>
    <w:rsid w:val="005629CC"/>
    <w:rsid w:val="00574994"/>
    <w:rsid w:val="005B599E"/>
    <w:rsid w:val="005F2D00"/>
    <w:rsid w:val="00603330"/>
    <w:rsid w:val="007420E1"/>
    <w:rsid w:val="00756BD9"/>
    <w:rsid w:val="007D63EA"/>
    <w:rsid w:val="007F675F"/>
    <w:rsid w:val="00914E7B"/>
    <w:rsid w:val="00970C10"/>
    <w:rsid w:val="00A26095"/>
    <w:rsid w:val="00A75B48"/>
    <w:rsid w:val="00AE021D"/>
    <w:rsid w:val="00B21DAE"/>
    <w:rsid w:val="00B565AE"/>
    <w:rsid w:val="00B8064E"/>
    <w:rsid w:val="00B80AAF"/>
    <w:rsid w:val="00B80C23"/>
    <w:rsid w:val="00B85F18"/>
    <w:rsid w:val="00C2593B"/>
    <w:rsid w:val="00C423B2"/>
    <w:rsid w:val="00C56A6E"/>
    <w:rsid w:val="00CC4D3D"/>
    <w:rsid w:val="00CE48E3"/>
    <w:rsid w:val="00D41837"/>
    <w:rsid w:val="00D56300"/>
    <w:rsid w:val="00DA0F54"/>
    <w:rsid w:val="00DA47AD"/>
    <w:rsid w:val="00E3010B"/>
    <w:rsid w:val="00E45CF8"/>
    <w:rsid w:val="00E76E8D"/>
    <w:rsid w:val="00EB1E2A"/>
    <w:rsid w:val="00EB73FE"/>
    <w:rsid w:val="00EE2651"/>
    <w:rsid w:val="00F009A2"/>
    <w:rsid w:val="00F24716"/>
    <w:rsid w:val="00FA02AC"/>
    <w:rsid w:val="00FE3BC5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877C"/>
  <w15:docId w15:val="{E6B6A6A8-9ED8-49CF-B1EA-D5A9D41B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E2"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0A295C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E3062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7F76B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7F76B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7F76BC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9393C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5B6BD8"/>
    <w:rPr>
      <w:color w:val="954F72" w:themeColor="followedHyperlink"/>
      <w:u w:val="single"/>
    </w:rPr>
  </w:style>
  <w:style w:type="character" w:customStyle="1" w:styleId="SemEspaamentoChar">
    <w:name w:val="Sem Espaçamento Char"/>
    <w:link w:val="SemEspaamento"/>
    <w:uiPriority w:val="99"/>
    <w:qFormat/>
    <w:locked/>
    <w:rsid w:val="00E82280"/>
    <w:rPr>
      <w:rFonts w:ascii="Times New Roman" w:hAnsi="Times New Roman" w:cs="Times New Roman"/>
      <w:lang w:val="en-US"/>
    </w:rPr>
  </w:style>
  <w:style w:type="character" w:customStyle="1" w:styleId="fontstyle01">
    <w:name w:val="fontstyle01"/>
    <w:basedOn w:val="Fontepargpadro"/>
    <w:qFormat/>
    <w:rsid w:val="006039CC"/>
    <w:rPr>
      <w:rFonts w:ascii="LMRoman12-Regular" w:hAnsi="LMRoman12-Regular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qFormat/>
    <w:rsid w:val="006039CC"/>
    <w:rPr>
      <w:rFonts w:ascii="LMRoman12-Bold" w:hAnsi="LMRoman12-Bold"/>
      <w:b/>
      <w:bCs/>
      <w:i w:val="0"/>
      <w:iCs w:val="0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B7B77"/>
  </w:style>
  <w:style w:type="character" w:customStyle="1" w:styleId="apple-converted-space">
    <w:name w:val="apple-converted-space"/>
    <w:qFormat/>
    <w:rsid w:val="00EB7B77"/>
  </w:style>
  <w:style w:type="character" w:customStyle="1" w:styleId="Pr-formataoHTMLChar">
    <w:name w:val="Pré-formatação HTML Char"/>
    <w:basedOn w:val="Fontepargpadro"/>
    <w:uiPriority w:val="99"/>
    <w:semiHidden/>
    <w:qFormat/>
    <w:rsid w:val="00251B00"/>
    <w:rPr>
      <w:rFonts w:ascii="Consolas" w:hAnsi="Consolas"/>
      <w:sz w:val="20"/>
      <w:szCs w:val="20"/>
    </w:rPr>
  </w:style>
  <w:style w:type="character" w:styleId="Nmerodelinha">
    <w:name w:val="line number"/>
    <w:qFormat/>
  </w:style>
  <w:style w:type="character" w:styleId="MenoPendente">
    <w:name w:val="Unresolved Mention"/>
    <w:basedOn w:val="Fontepargpadro"/>
    <w:uiPriority w:val="99"/>
    <w:semiHidden/>
    <w:unhideWhenUsed/>
    <w:qFormat/>
    <w:rsid w:val="00490F5E"/>
    <w:rPr>
      <w:color w:val="605E5C"/>
      <w:shd w:val="clear" w:color="auto" w:fill="E1DFDD"/>
    </w:rPr>
  </w:style>
  <w:style w:type="character" w:customStyle="1" w:styleId="fontstyle31">
    <w:name w:val="fontstyle31"/>
    <w:basedOn w:val="Fontepargpadro"/>
    <w:qFormat/>
    <w:rsid w:val="00B00BF2"/>
    <w:rPr>
      <w:rFonts w:ascii="LMMathSymbols10-Regular" w:hAnsi="LMMathSymbols10-Regular"/>
      <w:b w:val="0"/>
      <w:bCs w:val="0"/>
      <w:i/>
      <w:iCs/>
      <w:color w:val="000000"/>
      <w:sz w:val="24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E306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7F76B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7F76BC"/>
    <w:rPr>
      <w:b/>
      <w:bCs/>
    </w:rPr>
  </w:style>
  <w:style w:type="paragraph" w:customStyle="1" w:styleId="caption1111">
    <w:name w:val="caption1111"/>
    <w:basedOn w:val="Normal"/>
    <w:next w:val="Normal"/>
    <w:uiPriority w:val="35"/>
    <w:unhideWhenUsed/>
    <w:qFormat/>
    <w:rsid w:val="0079654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emEspaamento">
    <w:name w:val="No Spacing"/>
    <w:basedOn w:val="Normal"/>
    <w:next w:val="Normal"/>
    <w:link w:val="SemEspaamentoChar"/>
    <w:autoRedefine/>
    <w:uiPriority w:val="99"/>
    <w:qFormat/>
    <w:rsid w:val="00E82280"/>
    <w:pPr>
      <w:tabs>
        <w:tab w:val="left" w:pos="709"/>
      </w:tabs>
      <w:spacing w:after="0" w:line="240" w:lineRule="auto"/>
      <w:jc w:val="center"/>
    </w:pPr>
    <w:rPr>
      <w:rFonts w:ascii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C93F4C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B7B77"/>
    <w:pPr>
      <w:tabs>
        <w:tab w:val="center" w:pos="4252"/>
        <w:tab w:val="right" w:pos="8504"/>
      </w:tabs>
      <w:spacing w:after="0" w:line="240" w:lineRule="auto"/>
    </w:pPr>
  </w:style>
  <w:style w:type="paragraph" w:styleId="Pr-formataoHTML">
    <w:name w:val="HTML Preformatted"/>
    <w:basedOn w:val="Normal"/>
    <w:uiPriority w:val="99"/>
    <w:semiHidden/>
    <w:unhideWhenUsed/>
    <w:qFormat/>
    <w:rsid w:val="00251B00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E50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416E7B-49DA-4A4A-BF7D-71A2536F6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dc:description/>
  <cp:lastModifiedBy>Patricia</cp:lastModifiedBy>
  <cp:revision>5</cp:revision>
  <cp:lastPrinted>2020-10-28T18:03:00Z</cp:lastPrinted>
  <dcterms:created xsi:type="dcterms:W3CDTF">2024-04-19T09:19:00Z</dcterms:created>
  <dcterms:modified xsi:type="dcterms:W3CDTF">2024-04-22T20:03:00Z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0ccab3e4a3cc83964f8f444c08a74d1821ee6e3fdb4822c2e4b6117ee6942037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