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6l72hyr1hj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transfusion should be ordered before colon surgery. I am assuming the patient is an adult scheduled for elective colon resection, and there is no information provided about preoperative anemia, bleeding disorder, or sickle cell disease.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For most adults undergoing elective colon surgery, </w:t>
      </w:r>
      <w:r w:rsidDel="00000000" w:rsidR="00000000" w:rsidRPr="00000000">
        <w:rPr>
          <w:b w:val="1"/>
          <w:bCs w:val="1"/>
          <w:color w:val="232323"/>
          <w:sz w:val="24"/>
          <w:szCs w:val="24"/>
          <w:rtl w:val="0"/>
        </w:rPr>
        <w:t xml:space="preserve">preoperative transfusion is not routinely indicated unless the patient is anemic, unstable, or has ongoing bleeding</w:t>
      </w:r>
      <w:r w:rsidDel="00000000" w:rsidR="00000000" w:rsidRPr="00000000">
        <w:rPr>
          <w:color w:val="232323"/>
          <w:sz w:val="24"/>
          <w:szCs w:val="24"/>
          <w:rtl w:val="0"/>
        </w:rPr>
        <w:t xml:space="preserve">. Preoperative evaluation should include identification and optimization of major medical conditions, including anemia, before surgery</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If anemia is present, it should be corrected prior to surgery, typically with iron supplementation or treatment of the underlying disorder; transfusion is reserved for patients who are unstable or continue to bleed heavily before definitive therapy</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A baseline hematocrit should be obtained early in the surgical planning process to allow time for correction of anemia</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If significant blood loss is anticipated, a blood sample for ABO and Rh typing and antibody screen should be sent to the blood bank, and crossmatched units should be prepared and available for the operating team</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The decision to transfuse is based on individual patient characteristics and symptoms, not solely on hemoglobin level</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6">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For patients with sickle cell disease, </w:t>
      </w:r>
      <w:r w:rsidDel="00000000" w:rsidR="00000000" w:rsidRPr="00000000">
        <w:rPr>
          <w:b w:val="1"/>
          <w:bCs w:val="1"/>
          <w:color w:val="232323"/>
          <w:sz w:val="24"/>
          <w:szCs w:val="24"/>
          <w:rtl w:val="0"/>
        </w:rPr>
        <w:t xml:space="preserve">preoperative transfusion is recommended for most patients undergoing surgery that requires anesthesia for more than 30 to 60 minutes</w:t>
      </w:r>
      <w:r w:rsidDel="00000000" w:rsidR="00000000" w:rsidRPr="00000000">
        <w:rPr>
          <w:color w:val="232323"/>
          <w:sz w:val="24"/>
          <w:szCs w:val="24"/>
          <w:rtl w:val="0"/>
        </w:rPr>
        <w:t xml:space="preserve">. The goal is to increase hemoglobin to approximately 10 g/dL, which is associated with a decreased incidence of postoperative vaso-occlusive events</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[4]</w:t>
        </w:r>
      </w:hyperlink>
      <w:hyperlink r:id="rId1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For patients with hemoglobin SC disease or other compound heterozygous sickle cell conditions, the decision to transfuse should be individualized based on disease severity and clinical setting</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22vsbzf3gbp1"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8">
      <w:pPr>
        <w:numPr>
          <w:ilvl w:val="0"/>
          <w:numId w:val="1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Preoperative transfusion is not routinely required before colon surgery unless the patient is anemic, unstable, or has ongoing bleeding </w:t>
      </w:r>
      <w:hyperlink r:id="rId21">
        <w:r w:rsidDel="00000000" w:rsidR="00000000" w:rsidRPr="00000000">
          <w:rPr>
            <w:color w:val="0074b9"/>
            <w:sz w:val="24"/>
            <w:szCs w:val="24"/>
            <w:rtl w:val="0"/>
          </w:rPr>
          <w:t xml:space="preserve">[1]</w:t>
        </w:r>
      </w:hyperlink>
      <w:hyperlink r:id="rId2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Baseline hematocrit and blood type/crossmatch should be obtained for surgeries with expected significant blood loss </w:t>
      </w:r>
      <w:hyperlink r:id="rId2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Correct anemia preoperatively with iron supplementation or other therapies; transfuse only if unstable or ongoing bleeding </w:t>
      </w:r>
      <w:hyperlink r:id="rId2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sickle cell disease, preoperative transfusion is recommended for most surgeries requiring anesthesia &gt;30–60 minutes </w:t>
      </w:r>
      <w:hyperlink r:id="rId25">
        <w:r w:rsidDel="00000000" w:rsidR="00000000" w:rsidRPr="00000000">
          <w:rPr>
            <w:color w:val="0074b9"/>
            <w:sz w:val="24"/>
            <w:szCs w:val="24"/>
            <w:rtl w:val="0"/>
          </w:rPr>
          <w:t xml:space="preserve">[4]</w:t>
        </w:r>
      </w:hyperlink>
      <w:hyperlink r:id="rId2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The decision to transfuse should be individualized based on patient symptoms and comorbidities </w:t>
      </w:r>
      <w:hyperlink r:id="rId2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29krwn2y62h0"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0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0F">
      <w:pPr>
        <w:numPr>
          <w:ilvl w:val="0"/>
          <w:numId w:val="8"/>
        </w:numPr>
        <w:shd w:fill="ffffff" w:val="clear"/>
        <w:spacing w:after="0" w:afterAutospacing="0" w:before="220" w:line="390" w:lineRule="auto"/>
        <w:ind w:left="720" w:hanging="360"/>
      </w:pPr>
      <w:hyperlink r:id="rId28">
        <w:r w:rsidDel="00000000" w:rsidR="00000000" w:rsidRPr="00000000">
          <w:rPr>
            <w:color w:val="0074b9"/>
            <w:sz w:val="24"/>
            <w:szCs w:val="24"/>
            <w:rtl w:val="0"/>
          </w:rPr>
          <w:t xml:space="preserve">What if the patient has preoperative anemia?</w:t>
        </w:r>
      </w:hyperlink>
      <w:r w:rsidDel="00000000" w:rsidR="00000000" w:rsidRPr="00000000">
        <w:rPr>
          <w:rtl w:val="0"/>
        </w:rPr>
      </w:r>
    </w:p>
    <w:p w:rsidR="00000000" w:rsidDel="00000000" w:rsidP="00000000" w:rsidRDefault="00000000" w:rsidRPr="00000000" w14:paraId="00000010">
      <w:pPr>
        <w:numPr>
          <w:ilvl w:val="0"/>
          <w:numId w:val="8"/>
        </w:numPr>
        <w:shd w:fill="ffffff" w:val="clear"/>
        <w:spacing w:after="0" w:afterAutospacing="0" w:before="0" w:beforeAutospacing="0" w:line="390" w:lineRule="auto"/>
        <w:ind w:left="720" w:hanging="360"/>
      </w:pPr>
      <w:hyperlink r:id="rId29">
        <w:r w:rsidDel="00000000" w:rsidR="00000000" w:rsidRPr="00000000">
          <w:rPr>
            <w:color w:val="0074b9"/>
            <w:sz w:val="24"/>
            <w:szCs w:val="24"/>
            <w:rtl w:val="0"/>
          </w:rPr>
          <w:t xml:space="preserve">What if the patient has sickle cell disease?</w:t>
        </w:r>
      </w:hyperlink>
      <w:r w:rsidDel="00000000" w:rsidR="00000000" w:rsidRPr="00000000">
        <w:rPr>
          <w:rtl w:val="0"/>
        </w:rPr>
      </w:r>
    </w:p>
    <w:p w:rsidR="00000000" w:rsidDel="00000000" w:rsidP="00000000" w:rsidRDefault="00000000" w:rsidRPr="00000000" w14:paraId="00000011">
      <w:pPr>
        <w:numPr>
          <w:ilvl w:val="0"/>
          <w:numId w:val="8"/>
        </w:numPr>
        <w:shd w:fill="ffffff" w:val="clear"/>
        <w:spacing w:after="0" w:afterAutospacing="0" w:before="0" w:beforeAutospacing="0" w:line="390" w:lineRule="auto"/>
        <w:ind w:left="720" w:hanging="360"/>
      </w:pPr>
      <w:hyperlink r:id="rId30">
        <w:r w:rsidDel="00000000" w:rsidR="00000000" w:rsidRPr="00000000">
          <w:rPr>
            <w:color w:val="0074b9"/>
            <w:sz w:val="24"/>
            <w:szCs w:val="24"/>
            <w:rtl w:val="0"/>
          </w:rPr>
          <w:t xml:space="preserve">What if the patient is at high risk for bleeding or has a bleeding disorder?</w:t>
        </w:r>
      </w:hyperlink>
      <w:r w:rsidDel="00000000" w:rsidR="00000000" w:rsidRPr="00000000">
        <w:rPr>
          <w:rtl w:val="0"/>
        </w:rPr>
      </w:r>
    </w:p>
    <w:p w:rsidR="00000000" w:rsidDel="00000000" w:rsidP="00000000" w:rsidRDefault="00000000" w:rsidRPr="00000000" w14:paraId="00000012">
      <w:pPr>
        <w:numPr>
          <w:ilvl w:val="0"/>
          <w:numId w:val="8"/>
        </w:numPr>
        <w:shd w:fill="ffffff" w:val="clear"/>
        <w:spacing w:after="0" w:afterAutospacing="0" w:before="0" w:beforeAutospacing="0" w:line="390" w:lineRule="auto"/>
        <w:ind w:left="720" w:hanging="360"/>
      </w:pPr>
      <w:hyperlink r:id="rId31">
        <w:r w:rsidDel="00000000" w:rsidR="00000000" w:rsidRPr="00000000">
          <w:rPr>
            <w:color w:val="0074b9"/>
            <w:sz w:val="24"/>
            <w:szCs w:val="24"/>
            <w:rtl w:val="0"/>
          </w:rPr>
          <w:t xml:space="preserve">What if the patient is undergoing emergency rather than elective surgery?</w:t>
        </w:r>
      </w:hyperlink>
      <w:r w:rsidDel="00000000" w:rsidR="00000000" w:rsidRPr="00000000">
        <w:rPr>
          <w:rtl w:val="0"/>
        </w:rPr>
      </w:r>
    </w:p>
    <w:p w:rsidR="00000000" w:rsidDel="00000000" w:rsidP="00000000" w:rsidRDefault="00000000" w:rsidRPr="00000000" w14:paraId="00000013">
      <w:pPr>
        <w:numPr>
          <w:ilvl w:val="0"/>
          <w:numId w:val="8"/>
        </w:numPr>
        <w:shd w:fill="ffffff" w:val="clear"/>
        <w:spacing w:before="0" w:beforeAutospacing="0" w:line="390" w:lineRule="auto"/>
        <w:ind w:left="720" w:hanging="360"/>
      </w:pPr>
      <w:hyperlink r:id="rId32">
        <w:r w:rsidDel="00000000" w:rsidR="00000000" w:rsidRPr="00000000">
          <w:rPr>
            <w:color w:val="0074b9"/>
            <w:sz w:val="24"/>
            <w:szCs w:val="24"/>
            <w:rtl w:val="0"/>
          </w:rPr>
          <w:t xml:space="preserve">What if the patient is receiving anticoagulant therapy?</w:t>
        </w:r>
      </w:hyperlink>
      <w:r w:rsidDel="00000000" w:rsidR="00000000" w:rsidRPr="00000000">
        <w:rPr>
          <w:rtl w:val="0"/>
        </w:rPr>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scenario.</w:t>
      </w:r>
    </w:p>
    <w:p w:rsidR="00000000" w:rsidDel="00000000" w:rsidP="00000000" w:rsidRDefault="00000000" w:rsidRPr="00000000" w14:paraId="00000015">
      <w:pPr>
        <w:pStyle w:val="Heading3"/>
        <w:keepNext w:val="0"/>
        <w:keepLines w:val="0"/>
        <w:shd w:fill="ffffff" w:val="clear"/>
        <w:spacing w:after="40" w:before="460" w:line="346.66666666666663" w:lineRule="auto"/>
        <w:rPr>
          <w:b w:val="1"/>
          <w:bCs w:val="1"/>
          <w:color w:val="232323"/>
          <w:sz w:val="27"/>
          <w:szCs w:val="27"/>
        </w:rPr>
      </w:pPr>
      <w:bookmarkStart w:colFirst="0" w:colLast="0" w:name="_3or1f5w76zaf"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6">
      <w:pPr>
        <w:numPr>
          <w:ilvl w:val="0"/>
          <w:numId w:val="10"/>
        </w:numPr>
        <w:shd w:fill="ffffff" w:val="clear"/>
        <w:spacing w:after="0" w:afterAutospacing="0" w:before="240" w:lineRule="auto"/>
        <w:ind w:left="720" w:hanging="360"/>
      </w:pPr>
      <w:hyperlink r:id="rId33">
        <w:r w:rsidDel="00000000" w:rsidR="00000000" w:rsidRPr="00000000">
          <w:rPr>
            <w:color w:val="0074b9"/>
            <w:sz w:val="24"/>
            <w:szCs w:val="24"/>
            <w:rtl w:val="0"/>
          </w:rPr>
          <w:t xml:space="preserve">Overview of colon resection &gt; PREOPERATIVE EVALUATION &gt; Medical risk assessment</w:t>
        </w:r>
      </w:hyperlink>
      <w:r w:rsidDel="00000000" w:rsidR="00000000" w:rsidRPr="00000000">
        <w:rPr>
          <w:rtl w:val="0"/>
        </w:rPr>
      </w:r>
    </w:p>
    <w:p w:rsidR="00000000" w:rsidDel="00000000" w:rsidP="00000000" w:rsidRDefault="00000000" w:rsidRPr="00000000" w14:paraId="00000017">
      <w:pPr>
        <w:numPr>
          <w:ilvl w:val="0"/>
          <w:numId w:val="10"/>
        </w:numPr>
        <w:shd w:fill="ffffff" w:val="clear"/>
        <w:spacing w:after="0" w:afterAutospacing="0" w:before="0" w:beforeAutospacing="0" w:lineRule="auto"/>
        <w:ind w:left="720" w:hanging="360"/>
      </w:pPr>
      <w:hyperlink r:id="rId34">
        <w:r w:rsidDel="00000000" w:rsidR="00000000" w:rsidRPr="00000000">
          <w:rPr>
            <w:color w:val="0074b9"/>
            <w:sz w:val="24"/>
            <w:szCs w:val="24"/>
            <w:rtl w:val="0"/>
          </w:rPr>
          <w:t xml:space="preserve">Management of hemorrhage in gynecologic surgery &gt; PREPARATION FOR SURGERY &gt; Correction of anemia</w:t>
        </w:r>
      </w:hyperlink>
      <w:r w:rsidDel="00000000" w:rsidR="00000000" w:rsidRPr="00000000">
        <w:rPr>
          <w:rtl w:val="0"/>
        </w:rPr>
      </w:r>
    </w:p>
    <w:p w:rsidR="00000000" w:rsidDel="00000000" w:rsidP="00000000" w:rsidRDefault="00000000" w:rsidRPr="00000000" w14:paraId="00000018">
      <w:pPr>
        <w:numPr>
          <w:ilvl w:val="0"/>
          <w:numId w:val="10"/>
        </w:numPr>
        <w:shd w:fill="ffffff" w:val="clear"/>
        <w:spacing w:after="0" w:afterAutospacing="0" w:before="0" w:beforeAutospacing="0" w:lineRule="auto"/>
        <w:ind w:left="720" w:hanging="360"/>
      </w:pPr>
      <w:hyperlink r:id="rId35">
        <w:r w:rsidDel="00000000" w:rsidR="00000000" w:rsidRPr="00000000">
          <w:rPr>
            <w:color w:val="0074b9"/>
            <w:sz w:val="24"/>
            <w:szCs w:val="24"/>
            <w:rtl w:val="0"/>
          </w:rPr>
          <w:t xml:space="preserve">Management of hemorrhage in gynecologic surgery &gt; PREOPERATIVE EVALUATION &gt; Laboratory evaluation</w:t>
        </w:r>
      </w:hyperlink>
      <w:r w:rsidDel="00000000" w:rsidR="00000000" w:rsidRPr="00000000">
        <w:rPr>
          <w:rtl w:val="0"/>
        </w:rPr>
      </w:r>
    </w:p>
    <w:p w:rsidR="00000000" w:rsidDel="00000000" w:rsidP="00000000" w:rsidRDefault="00000000" w:rsidRPr="00000000" w14:paraId="00000019">
      <w:pPr>
        <w:numPr>
          <w:ilvl w:val="0"/>
          <w:numId w:val="10"/>
        </w:numPr>
        <w:shd w:fill="ffffff" w:val="clear"/>
        <w:spacing w:after="0" w:afterAutospacing="0" w:before="0" w:beforeAutospacing="0" w:lineRule="auto"/>
        <w:ind w:left="720" w:hanging="360"/>
      </w:pPr>
      <w:hyperlink r:id="rId36">
        <w:r w:rsidDel="00000000" w:rsidR="00000000" w:rsidRPr="00000000">
          <w:rPr>
            <w:color w:val="0074b9"/>
            <w:sz w:val="24"/>
            <w:szCs w:val="24"/>
            <w:rtl w:val="0"/>
          </w:rPr>
          <w:t xml:space="preserve">Red blood cell transfusion in sickle cell disease: Indications, RBC matching, and modifications &gt; INDICATIONS FOR TRANSFUSION &gt; Prophylactic preoperative transfusion &gt; Indications for preoperative transfusion</w:t>
        </w:r>
      </w:hyperlink>
      <w:r w:rsidDel="00000000" w:rsidR="00000000" w:rsidRPr="00000000">
        <w:rPr>
          <w:rtl w:val="0"/>
        </w:rPr>
      </w:r>
    </w:p>
    <w:p w:rsidR="00000000" w:rsidDel="00000000" w:rsidP="00000000" w:rsidRDefault="00000000" w:rsidRPr="00000000" w14:paraId="0000001A">
      <w:pPr>
        <w:numPr>
          <w:ilvl w:val="0"/>
          <w:numId w:val="10"/>
        </w:numPr>
        <w:shd w:fill="ffffff" w:val="clear"/>
        <w:spacing w:after="0" w:afterAutospacing="0" w:before="0" w:beforeAutospacing="0" w:lineRule="auto"/>
        <w:ind w:left="720" w:hanging="360"/>
      </w:pPr>
      <w:hyperlink r:id="rId37">
        <w:r w:rsidDel="00000000" w:rsidR="00000000" w:rsidRPr="00000000">
          <w:rPr>
            <w:color w:val="0074b9"/>
            <w:sz w:val="24"/>
            <w:szCs w:val="24"/>
            <w:rtl w:val="0"/>
          </w:rPr>
          <w:t xml:space="preserve">Red blood cell transfusion in sickle cell disease: Indications, RBC matching, and modifications &gt; INDICATIONS FOR TRANSFUSION &gt; Prophylactic preoperative transfusion &gt; Optimal regimen for preoperative transfusion</w:t>
        </w:r>
      </w:hyperlink>
      <w:r w:rsidDel="00000000" w:rsidR="00000000" w:rsidRPr="00000000">
        <w:rPr>
          <w:rtl w:val="0"/>
        </w:rPr>
      </w:r>
    </w:p>
    <w:p w:rsidR="00000000" w:rsidDel="00000000" w:rsidP="00000000" w:rsidRDefault="00000000" w:rsidRPr="00000000" w14:paraId="0000001B">
      <w:pPr>
        <w:numPr>
          <w:ilvl w:val="0"/>
          <w:numId w:val="10"/>
        </w:numPr>
        <w:shd w:fill="ffffff" w:val="clear"/>
        <w:spacing w:before="0" w:beforeAutospacing="0" w:lineRule="auto"/>
        <w:ind w:left="720" w:hanging="360"/>
      </w:pPr>
      <w:hyperlink r:id="rId38">
        <w:r w:rsidDel="00000000" w:rsidR="00000000" w:rsidRPr="00000000">
          <w:rPr>
            <w:color w:val="0074b9"/>
            <w:sz w:val="24"/>
            <w:szCs w:val="24"/>
            <w:rtl w:val="0"/>
          </w:rPr>
          <w:t xml:space="preserve">Red blood cell transfusion in sickle cell disease: Indications, RBC matching, and modifications &gt; INDICATIONS FOR TRANSFUSION &gt; Prophylactic preoperative transfusion &gt; Hemoglobin SC disease or other compound heterozygous SCD conditions</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x0miw5ad5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34</w:t>
      </w:r>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hyponatremia in a patient with both malignancy and malnutrition is more likely caused by the malignancy or the malnutrition. I am assuming the patient has hypotonic hyponatremia, as this is the most common type discussed in UpToDate, and that both conditions are present. Key features of hyponatremia include low serum sodium, possible neurologic symptoms, and laboratory findings consistent with impaired water excretion</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[1]</w:t>
        </w:r>
      </w:hyperlink>
      <w:hyperlink r:id="rId4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hd w:fill="ffffff" w:val="clear"/>
        <w:spacing w:line="390" w:lineRule="auto"/>
        <w:rPr>
          <w:color w:val="232323"/>
          <w:sz w:val="24"/>
          <w:szCs w:val="24"/>
        </w:rPr>
      </w:pPr>
      <w:r w:rsidDel="00000000" w:rsidR="00000000" w:rsidRPr="00000000">
        <w:rPr>
          <w:color w:val="232323"/>
          <w:sz w:val="24"/>
          <w:szCs w:val="24"/>
          <w:rtl w:val="0"/>
        </w:rPr>
        <w:t xml:space="preserve">Both malignancy and malnutrition are recognized causes of hyponatremia, but the mechanism and likelihood depend on the clinical context:</w:t>
      </w:r>
    </w:p>
    <w:p w:rsidR="00000000" w:rsidDel="00000000" w:rsidP="00000000" w:rsidRDefault="00000000" w:rsidRPr="00000000" w14:paraId="00000021">
      <w:pPr>
        <w:numPr>
          <w:ilvl w:val="0"/>
          <w:numId w:val="13"/>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Malignancy:</w:t>
      </w:r>
      <w:r w:rsidDel="00000000" w:rsidR="00000000" w:rsidRPr="00000000">
        <w:rPr>
          <w:color w:val="232323"/>
          <w:sz w:val="24"/>
          <w:szCs w:val="24"/>
          <w:rtl w:val="0"/>
        </w:rPr>
        <w:t xml:space="preserve"> Hyponatremia in patients with cancer is common and can be due to multiple mechanisms. The most frequent is the syndrome of inappropriate antidiuretic hormone secretion (SIADH), often caused by ectopic production of ADH by tumors such as small cell lung cancer, head and neck tumors, and primary or secondary brain tumors. Malignancy can also cause hyponatremia via ectopic atrial natriuretic peptide (ANP) secretion, which increases renal salt excretion and can exacerbate SIADH</w:t>
      </w:r>
      <w:hyperlink r:id="rId42">
        <w:r w:rsidDel="00000000" w:rsidR="00000000" w:rsidRPr="00000000">
          <w:rPr>
            <w:color w:val="232323"/>
            <w:sz w:val="24"/>
            <w:szCs w:val="24"/>
            <w:rtl w:val="0"/>
          </w:rPr>
          <w:t xml:space="preserve"> </w:t>
        </w:r>
      </w:hyperlink>
      <w:hyperlink r:id="rId43">
        <w:r w:rsidDel="00000000" w:rsidR="00000000" w:rsidRPr="00000000">
          <w:rPr>
            <w:color w:val="0074b9"/>
            <w:sz w:val="24"/>
            <w:szCs w:val="24"/>
            <w:rtl w:val="0"/>
          </w:rPr>
          <w:t xml:space="preserve">[3]</w:t>
        </w:r>
      </w:hyperlink>
      <w:hyperlink r:id="rId4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2">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Malnutrition:</w:t>
      </w:r>
      <w:r w:rsidDel="00000000" w:rsidR="00000000" w:rsidRPr="00000000">
        <w:rPr>
          <w:color w:val="232323"/>
          <w:sz w:val="24"/>
          <w:szCs w:val="24"/>
          <w:rtl w:val="0"/>
        </w:rPr>
        <w:t xml:space="preserve"> Severe protein malnutrition can cause hyponatremia by reducing dietary solute intake, which impairs the kidney's ability to excrete electrolyte-free water. This is described in settings such as beer potomania or "tea and toast" syndrome, where low protein and solute intake markedly diminishes water excretion capacity, predisposing to hyponatremia</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3">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Distinguishing between causes:</w:t>
      </w:r>
      <w:r w:rsidDel="00000000" w:rsidR="00000000" w:rsidRPr="00000000">
        <w:rPr>
          <w:color w:val="232323"/>
          <w:sz w:val="24"/>
          <w:szCs w:val="24"/>
          <w:rtl w:val="0"/>
        </w:rPr>
        <w:t xml:space="preserve"> In patients with both malignancy and malnutrition, either or both could contribute to hyponatremia. SIADH due to malignancy is a well-established and common cause, especially in patients with small cell lung cancer or other tumors known to secrete ADH or ANP</w:t>
      </w:r>
      <w:hyperlink r:id="rId47">
        <w:r w:rsidDel="00000000" w:rsidR="00000000" w:rsidRPr="00000000">
          <w:rPr>
            <w:color w:val="232323"/>
            <w:sz w:val="24"/>
            <w:szCs w:val="24"/>
            <w:rtl w:val="0"/>
          </w:rPr>
          <w:t xml:space="preserve"> </w:t>
        </w:r>
      </w:hyperlink>
      <w:hyperlink r:id="rId48">
        <w:r w:rsidDel="00000000" w:rsidR="00000000" w:rsidRPr="00000000">
          <w:rPr>
            <w:color w:val="0074b9"/>
            <w:sz w:val="24"/>
            <w:szCs w:val="24"/>
            <w:rtl w:val="0"/>
          </w:rPr>
          <w:t xml:space="preserve">[3]</w:t>
        </w:r>
      </w:hyperlink>
      <w:hyperlink r:id="rId4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Malnutrition is more likely to cause hyponatremia if there is a history of low protein intake, alcohol use disorder, or dietary restriction, and is often associated with low urine solute excretion</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4">
      <w:pPr>
        <w:numPr>
          <w:ilvl w:val="0"/>
          <w:numId w:val="13"/>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Diagnostic approach:</w:t>
      </w:r>
      <w:r w:rsidDel="00000000" w:rsidR="00000000" w:rsidRPr="00000000">
        <w:rPr>
          <w:color w:val="232323"/>
          <w:sz w:val="24"/>
          <w:szCs w:val="24"/>
          <w:rtl w:val="0"/>
        </w:rPr>
        <w:t xml:space="preserve"> The evaluation should include a detailed history (including dietary intake and cancer type), physical examination, and laboratory tests such as urine sodium, urine osmolality, and assessment for SIADH (euvolemic status, high urine sodium and osmolality, absence of other causes). Measurement of urine solute excretion can help identify malnutrition as a contributing factor</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The</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 algorithm for determining the cause of hyponatremia in adults</w:t>
        </w:r>
      </w:hyperlink>
      <w:r w:rsidDel="00000000" w:rsidR="00000000" w:rsidRPr="00000000">
        <w:rPr>
          <w:color w:val="232323"/>
          <w:sz w:val="24"/>
          <w:szCs w:val="24"/>
          <w:rtl w:val="0"/>
        </w:rPr>
        <w:t xml:space="preserve"> provides a stepwise approach</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[1]</w:t>
        </w:r>
      </w:hyperlink>
      <w:hyperlink r:id="rId58">
        <w:r w:rsidDel="00000000" w:rsidR="00000000" w:rsidRPr="00000000">
          <w:rPr>
            <w:color w:val="0074b9"/>
            <w:sz w:val="24"/>
            <w:szCs w:val="24"/>
            <w:rtl w:val="0"/>
          </w:rPr>
          <w:t xml:space="preserve">[6]</w:t>
        </w:r>
      </w:hyperlink>
      <w:hyperlink r:id="rId5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5">
      <w:pPr>
        <w:pStyle w:val="Heading3"/>
        <w:keepNext w:val="0"/>
        <w:keepLines w:val="0"/>
        <w:shd w:fill="ffffff" w:val="clear"/>
        <w:spacing w:after="40" w:before="460" w:line="346.66666666666663" w:lineRule="auto"/>
        <w:rPr>
          <w:b w:val="1"/>
          <w:bCs w:val="1"/>
          <w:color w:val="232323"/>
          <w:sz w:val="27"/>
          <w:szCs w:val="27"/>
        </w:rPr>
      </w:pPr>
      <w:bookmarkStart w:colFirst="0" w:colLast="0" w:name="_5ps9qbbg1u0o" w:id="5"/>
      <w:bookmarkEnd w:id="5"/>
      <w:r w:rsidDel="00000000" w:rsidR="00000000" w:rsidRPr="00000000">
        <w:rPr>
          <w:b w:val="1"/>
          <w:bCs w:val="1"/>
          <w:color w:val="232323"/>
          <w:sz w:val="27"/>
          <w:szCs w:val="27"/>
          <w:rtl w:val="0"/>
        </w:rPr>
        <w:t xml:space="preserve">Key Points</w:t>
      </w:r>
    </w:p>
    <w:p w:rsidR="00000000" w:rsidDel="00000000" w:rsidP="00000000" w:rsidRDefault="00000000" w:rsidRPr="00000000" w14:paraId="00000026">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SIADH due to malignancy is a common and important cause of hyponatremia in cancer patients, especially with small cell lung cancer and certain other tumors </w:t>
      </w:r>
      <w:hyperlink r:id="rId60">
        <w:r w:rsidDel="00000000" w:rsidR="00000000" w:rsidRPr="00000000">
          <w:rPr>
            <w:color w:val="0074b9"/>
            <w:sz w:val="24"/>
            <w:szCs w:val="24"/>
            <w:rtl w:val="0"/>
          </w:rPr>
          <w:t xml:space="preserve">[3]</w:t>
        </w:r>
      </w:hyperlink>
      <w:hyperlink r:id="rId6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Severe malnutrition can also cause hyponatremia, particularly in patients with low protein and solute intake </w:t>
      </w:r>
      <w:hyperlink r:id="rId6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8">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Both conditions can coexist and contribute; distinguishing the primary cause requires careful clinical and laboratory evaluation </w:t>
      </w:r>
      <w:hyperlink r:id="rId63">
        <w:r w:rsidDel="00000000" w:rsidR="00000000" w:rsidRPr="00000000">
          <w:rPr>
            <w:color w:val="0074b9"/>
            <w:sz w:val="24"/>
            <w:szCs w:val="24"/>
            <w:rtl w:val="0"/>
          </w:rPr>
          <w:t xml:space="preserve">[1]</w:t>
        </w:r>
      </w:hyperlink>
      <w:hyperlink r:id="rId6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40eq9km971w9" w:id="6"/>
      <w:bookmarkEnd w:id="6"/>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2A">
      <w:pPr>
        <w:numPr>
          <w:ilvl w:val="0"/>
          <w:numId w:val="9"/>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for clinical features and history suggestive of SIADH (malignancy type, euvolemia, high urine sodium/osmolality) </w:t>
      </w:r>
      <w:hyperlink r:id="rId65">
        <w:r w:rsidDel="00000000" w:rsidR="00000000" w:rsidRPr="00000000">
          <w:rPr>
            <w:color w:val="0074b9"/>
            <w:sz w:val="24"/>
            <w:szCs w:val="24"/>
            <w:rtl w:val="0"/>
          </w:rPr>
          <w:t xml:space="preserve">[3]</w:t>
        </w:r>
      </w:hyperlink>
      <w:hyperlink r:id="rId6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Evaluate dietary history and urine solute excretion to identify malnutrition-related hyponatremia </w:t>
      </w:r>
      <w:hyperlink r:id="rId6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9"/>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the </w:t>
      </w:r>
      <w:hyperlink r:id="rId68">
        <w:r w:rsidDel="00000000" w:rsidR="00000000" w:rsidRPr="00000000">
          <w:rPr>
            <w:color w:val="0074b9"/>
            <w:sz w:val="24"/>
            <w:szCs w:val="24"/>
            <w:rtl w:val="0"/>
          </w:rPr>
          <w:t xml:space="preserve"> diagnostic algorithm for hyponatremia</w:t>
        </w:r>
      </w:hyperlink>
      <w:r w:rsidDel="00000000" w:rsidR="00000000" w:rsidRPr="00000000">
        <w:rPr>
          <w:color w:val="232323"/>
          <w:sz w:val="24"/>
          <w:szCs w:val="24"/>
          <w:rtl w:val="0"/>
        </w:rPr>
        <w:t xml:space="preserve"> to guide further workup </w:t>
      </w:r>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[6]</w:t>
        </w:r>
      </w:hyperlink>
      <w:hyperlink r:id="rId7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D">
      <w:pPr>
        <w:pStyle w:val="Heading3"/>
        <w:keepNext w:val="0"/>
        <w:keepLines w:val="0"/>
        <w:shd w:fill="ffffff" w:val="clear"/>
        <w:spacing w:after="40" w:before="460" w:line="346.66666666666663" w:lineRule="auto"/>
        <w:rPr>
          <w:b w:val="1"/>
          <w:bCs w:val="1"/>
          <w:color w:val="232323"/>
          <w:sz w:val="27"/>
          <w:szCs w:val="27"/>
        </w:rPr>
      </w:pPr>
      <w:bookmarkStart w:colFirst="0" w:colLast="0" w:name="_2eu87zivlsas" w:id="7"/>
      <w:bookmarkEnd w:id="7"/>
      <w:r w:rsidDel="00000000" w:rsidR="00000000" w:rsidRPr="00000000">
        <w:rPr>
          <w:b w:val="1"/>
          <w:bCs w:val="1"/>
          <w:color w:val="232323"/>
          <w:sz w:val="27"/>
          <w:szCs w:val="27"/>
          <w:rtl w:val="0"/>
        </w:rPr>
        <w:t xml:space="preserve">Learn More</w:t>
      </w:r>
    </w:p>
    <w:p w:rsidR="00000000" w:rsidDel="00000000" w:rsidP="00000000" w:rsidRDefault="00000000" w:rsidRPr="00000000" w14:paraId="0000002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F">
      <w:pPr>
        <w:numPr>
          <w:ilvl w:val="0"/>
          <w:numId w:val="6"/>
        </w:numPr>
        <w:shd w:fill="ffffff" w:val="clear"/>
        <w:spacing w:after="0" w:afterAutospacing="0" w:before="220" w:line="390" w:lineRule="auto"/>
        <w:ind w:left="720" w:hanging="360"/>
      </w:pPr>
      <w:hyperlink r:id="rId72">
        <w:r w:rsidDel="00000000" w:rsidR="00000000" w:rsidRPr="00000000">
          <w:rPr>
            <w:color w:val="0074b9"/>
            <w:sz w:val="24"/>
            <w:szCs w:val="24"/>
            <w:rtl w:val="0"/>
          </w:rPr>
          <w:t xml:space="preserve">What if the patient has a history of small cell lung cancer?</w:t>
        </w:r>
      </w:hyperlink>
      <w:r w:rsidDel="00000000" w:rsidR="00000000" w:rsidRPr="00000000">
        <w:rPr>
          <w:rtl w:val="0"/>
        </w:rPr>
      </w:r>
    </w:p>
    <w:p w:rsidR="00000000" w:rsidDel="00000000" w:rsidP="00000000" w:rsidRDefault="00000000" w:rsidRPr="00000000" w14:paraId="00000030">
      <w:pPr>
        <w:numPr>
          <w:ilvl w:val="0"/>
          <w:numId w:val="6"/>
        </w:numPr>
        <w:shd w:fill="ffffff" w:val="clear"/>
        <w:spacing w:after="0" w:afterAutospacing="0" w:before="0" w:beforeAutospacing="0" w:line="390" w:lineRule="auto"/>
        <w:ind w:left="720" w:hanging="360"/>
      </w:pPr>
      <w:hyperlink r:id="rId73">
        <w:r w:rsidDel="00000000" w:rsidR="00000000" w:rsidRPr="00000000">
          <w:rPr>
            <w:color w:val="0074b9"/>
            <w:sz w:val="24"/>
            <w:szCs w:val="24"/>
            <w:rtl w:val="0"/>
          </w:rPr>
          <w:t xml:space="preserve">What if the patient has severe dietary restriction or alcohol use disorder?</w:t>
        </w:r>
      </w:hyperlink>
      <w:r w:rsidDel="00000000" w:rsidR="00000000" w:rsidRPr="00000000">
        <w:rPr>
          <w:rtl w:val="0"/>
        </w:rPr>
      </w:r>
    </w:p>
    <w:p w:rsidR="00000000" w:rsidDel="00000000" w:rsidP="00000000" w:rsidRDefault="00000000" w:rsidRPr="00000000" w14:paraId="00000031">
      <w:pPr>
        <w:numPr>
          <w:ilvl w:val="0"/>
          <w:numId w:val="6"/>
        </w:numPr>
        <w:shd w:fill="ffffff" w:val="clear"/>
        <w:spacing w:after="0" w:afterAutospacing="0" w:before="0" w:beforeAutospacing="0" w:line="390" w:lineRule="auto"/>
        <w:ind w:left="720" w:hanging="360"/>
      </w:pPr>
      <w:hyperlink r:id="rId74">
        <w:r w:rsidDel="00000000" w:rsidR="00000000" w:rsidRPr="00000000">
          <w:rPr>
            <w:color w:val="0074b9"/>
            <w:sz w:val="24"/>
            <w:szCs w:val="24"/>
            <w:rtl w:val="0"/>
          </w:rPr>
          <w:t xml:space="preserve">What if the patient is taking diuretics or other medications?</w:t>
        </w:r>
      </w:hyperlink>
      <w:r w:rsidDel="00000000" w:rsidR="00000000" w:rsidRPr="00000000">
        <w:rPr>
          <w:rtl w:val="0"/>
        </w:rPr>
      </w:r>
    </w:p>
    <w:p w:rsidR="00000000" w:rsidDel="00000000" w:rsidP="00000000" w:rsidRDefault="00000000" w:rsidRPr="00000000" w14:paraId="00000032">
      <w:pPr>
        <w:numPr>
          <w:ilvl w:val="0"/>
          <w:numId w:val="6"/>
        </w:numPr>
        <w:shd w:fill="ffffff" w:val="clear"/>
        <w:spacing w:after="0" w:afterAutospacing="0" w:before="0" w:beforeAutospacing="0" w:line="390" w:lineRule="auto"/>
        <w:ind w:left="720" w:hanging="360"/>
      </w:pPr>
      <w:hyperlink r:id="rId75">
        <w:r w:rsidDel="00000000" w:rsidR="00000000" w:rsidRPr="00000000">
          <w:rPr>
            <w:color w:val="0074b9"/>
            <w:sz w:val="24"/>
            <w:szCs w:val="24"/>
            <w:rtl w:val="0"/>
          </w:rPr>
          <w:t xml:space="preserve">What if the patient has signs of volume depletion or edema?</w:t>
        </w:r>
      </w:hyperlink>
      <w:r w:rsidDel="00000000" w:rsidR="00000000" w:rsidRPr="00000000">
        <w:rPr>
          <w:rtl w:val="0"/>
        </w:rPr>
      </w:r>
    </w:p>
    <w:p w:rsidR="00000000" w:rsidDel="00000000" w:rsidP="00000000" w:rsidRDefault="00000000" w:rsidRPr="00000000" w14:paraId="00000033">
      <w:pPr>
        <w:numPr>
          <w:ilvl w:val="0"/>
          <w:numId w:val="6"/>
        </w:numPr>
        <w:shd w:fill="ffffff" w:val="clear"/>
        <w:spacing w:before="0" w:beforeAutospacing="0" w:line="390" w:lineRule="auto"/>
        <w:ind w:left="720" w:hanging="360"/>
      </w:pPr>
      <w:hyperlink r:id="rId76">
        <w:r w:rsidDel="00000000" w:rsidR="00000000" w:rsidRPr="00000000">
          <w:rPr>
            <w:color w:val="0074b9"/>
            <w:sz w:val="24"/>
            <w:szCs w:val="24"/>
            <w:rtl w:val="0"/>
          </w:rPr>
          <w:t xml:space="preserve">What if the patient has neurologic symptoms?</w:t>
        </w:r>
      </w:hyperlink>
      <w:r w:rsidDel="00000000" w:rsidR="00000000" w:rsidRPr="00000000">
        <w:rPr>
          <w:rtl w:val="0"/>
        </w:rPr>
      </w:r>
    </w:p>
    <w:p w:rsidR="00000000" w:rsidDel="00000000" w:rsidP="00000000" w:rsidRDefault="00000000" w:rsidRPr="00000000" w14:paraId="00000034">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35">
      <w:pPr>
        <w:pStyle w:val="Heading3"/>
        <w:keepNext w:val="0"/>
        <w:keepLines w:val="0"/>
        <w:shd w:fill="ffffff" w:val="clear"/>
        <w:spacing w:after="40" w:before="460" w:line="346.66666666666663" w:lineRule="auto"/>
        <w:rPr>
          <w:b w:val="1"/>
          <w:bCs w:val="1"/>
          <w:color w:val="232323"/>
          <w:sz w:val="27"/>
          <w:szCs w:val="27"/>
        </w:rPr>
      </w:pPr>
      <w:bookmarkStart w:colFirst="0" w:colLast="0" w:name="_6xn2rn1ef6up" w:id="8"/>
      <w:bookmarkEnd w:id="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6">
      <w:pPr>
        <w:numPr>
          <w:ilvl w:val="0"/>
          <w:numId w:val="4"/>
        </w:numPr>
        <w:shd w:fill="ffffff" w:val="clear"/>
        <w:spacing w:after="0" w:afterAutospacing="0" w:before="240" w:lineRule="auto"/>
        <w:ind w:left="720" w:hanging="360"/>
      </w:pPr>
      <w:hyperlink r:id="rId77">
        <w:r w:rsidDel="00000000" w:rsidR="00000000" w:rsidRPr="00000000">
          <w:rPr>
            <w:color w:val="0074b9"/>
            <w:sz w:val="24"/>
            <w:szCs w:val="24"/>
            <w:rtl w:val="0"/>
          </w:rPr>
          <w:t xml:space="preserve">Diagnostic evaluation of adults with hyponatremia &gt; SUMMARY AND RECOMMENDATIONS</w:t>
        </w:r>
      </w:hyperlink>
      <w:r w:rsidDel="00000000" w:rsidR="00000000" w:rsidRPr="00000000">
        <w:rPr>
          <w:rtl w:val="0"/>
        </w:rPr>
      </w:r>
    </w:p>
    <w:p w:rsidR="00000000" w:rsidDel="00000000" w:rsidP="00000000" w:rsidRDefault="00000000" w:rsidRPr="00000000" w14:paraId="00000037">
      <w:pPr>
        <w:numPr>
          <w:ilvl w:val="0"/>
          <w:numId w:val="4"/>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Manifestations of hyponatremia and hypernatremia in adults &gt; SUMMARY</w:t>
        </w:r>
      </w:hyperlink>
      <w:r w:rsidDel="00000000" w:rsidR="00000000" w:rsidRPr="00000000">
        <w:rPr>
          <w:rtl w:val="0"/>
        </w:rPr>
      </w:r>
    </w:p>
    <w:p w:rsidR="00000000" w:rsidDel="00000000" w:rsidP="00000000" w:rsidRDefault="00000000" w:rsidRPr="00000000" w14:paraId="00000038">
      <w:pPr>
        <w:numPr>
          <w:ilvl w:val="0"/>
          <w:numId w:val="4"/>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Overview of kidney disease in patients with cancer &gt; ELECTROLYTE DISORDERS IN PATIENTS WITH CANCER &gt; Hyponatremia</w:t>
        </w:r>
      </w:hyperlink>
      <w:r w:rsidDel="00000000" w:rsidR="00000000" w:rsidRPr="00000000">
        <w:rPr>
          <w:rtl w:val="0"/>
        </w:rPr>
      </w:r>
    </w:p>
    <w:p w:rsidR="00000000" w:rsidDel="00000000" w:rsidP="00000000" w:rsidRDefault="00000000" w:rsidRPr="00000000" w14:paraId="00000039">
      <w:pPr>
        <w:numPr>
          <w:ilvl w:val="0"/>
          <w:numId w:val="4"/>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Causes of hypotonic hyponatremia in adults &gt; CLASSIFICATION OF HYPOTONIC HYPONATREMIA &gt; Impaired urine dilution due to unsuppressed ADH secretion &gt; Syndrome of inappropriate ADH secretion (euvolemic hyponatremia) &gt; Malignancies</w:t>
        </w:r>
      </w:hyperlink>
      <w:r w:rsidDel="00000000" w:rsidR="00000000" w:rsidRPr="00000000">
        <w:rPr>
          <w:rtl w:val="0"/>
        </w:rPr>
      </w:r>
    </w:p>
    <w:p w:rsidR="00000000" w:rsidDel="00000000" w:rsidP="00000000" w:rsidRDefault="00000000" w:rsidRPr="00000000" w14:paraId="0000003A">
      <w:pPr>
        <w:numPr>
          <w:ilvl w:val="0"/>
          <w:numId w:val="4"/>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Diagnostic evaluation of adults with hyponatremia &gt; PATIENTS WITH HYPOTONIC HYPONATREMIA &gt; Other patients &gt; Nonedematous patients &gt; Apparent euvolemia &gt; Low urine sodium and osmolality</w:t>
        </w:r>
      </w:hyperlink>
      <w:r w:rsidDel="00000000" w:rsidR="00000000" w:rsidRPr="00000000">
        <w:rPr>
          <w:rtl w:val="0"/>
        </w:rPr>
      </w:r>
    </w:p>
    <w:p w:rsidR="00000000" w:rsidDel="00000000" w:rsidP="00000000" w:rsidRDefault="00000000" w:rsidRPr="00000000" w14:paraId="0000003B">
      <w:pPr>
        <w:numPr>
          <w:ilvl w:val="0"/>
          <w:numId w:val="4"/>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Diagnostic evaluation of adults with hyponatremia &gt; THE INITIAL EVALUATION</w:t>
        </w:r>
      </w:hyperlink>
      <w:r w:rsidDel="00000000" w:rsidR="00000000" w:rsidRPr="00000000">
        <w:rPr>
          <w:rtl w:val="0"/>
        </w:rPr>
      </w:r>
    </w:p>
    <w:p w:rsidR="00000000" w:rsidDel="00000000" w:rsidP="00000000" w:rsidRDefault="00000000" w:rsidRPr="00000000" w14:paraId="0000003C">
      <w:pPr>
        <w:numPr>
          <w:ilvl w:val="0"/>
          <w:numId w:val="4"/>
        </w:numPr>
        <w:shd w:fill="ffffff" w:val="clear"/>
        <w:spacing w:before="0" w:beforeAutospacing="0" w:lineRule="auto"/>
        <w:ind w:left="720" w:hanging="360"/>
      </w:pPr>
      <w:hyperlink r:id="rId83">
        <w:r w:rsidDel="00000000" w:rsidR="00000000" w:rsidRPr="00000000">
          <w:rPr>
            <w:color w:val="0074b9"/>
            <w:sz w:val="24"/>
            <w:szCs w:val="24"/>
            <w:rtl w:val="0"/>
          </w:rPr>
          <w:t xml:space="preserve">Diagnostic evaluation of adults with hyponatremia &gt; OVERVIEW OF THE DIAGNOSTIC APPROACH</w:t>
        </w:r>
      </w:hyperlink>
      <w:r w:rsidDel="00000000" w:rsidR="00000000" w:rsidRPr="00000000">
        <w:rPr>
          <w:rtl w:val="0"/>
        </w:rPr>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4yrgfmkvh0k"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35</w:t>
      </w:r>
      <w:r w:rsidDel="00000000" w:rsidR="00000000" w:rsidRPr="00000000">
        <w:rPr>
          <w:rtl w:val="0"/>
        </w:rPr>
      </w:r>
    </w:p>
    <w:p w:rsidR="00000000" w:rsidDel="00000000" w:rsidP="00000000" w:rsidRDefault="00000000" w:rsidRPr="00000000" w14:paraId="0000003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and appropriateness of</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for venous thromboembolism (VTE) treatment in patients with a history of heparin-induced thrombocytopenia (HIT). I am assuming the patient is an adult, not pregnant, and has a confirmed history of HIT.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fffff" w:val="clear"/>
        <w:spacing w:line="390" w:lineRule="auto"/>
        <w:rPr>
          <w:color w:val="232323"/>
          <w:sz w:val="24"/>
          <w:szCs w:val="24"/>
        </w:rPr>
      </w:pPr>
      <w:r w:rsidDel="00000000" w:rsidR="00000000" w:rsidRPr="00000000">
        <w:rPr>
          <w:color w:val="232323"/>
          <w:sz w:val="24"/>
          <w:szCs w:val="24"/>
          <w:rtl w:val="0"/>
        </w:rPr>
        <w:t xml:space="preserve">For patients with VTE and a history of HIT, all forms of heparin (including unfractionated heparin, low molecular weight heparin, heparin flushes, and heparin-containing medications) should be discontinued and strictly avoided</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[1]</w:t>
        </w:r>
      </w:hyperlink>
      <w:hyperlink r:id="rId8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Immediate anticoagulation with a non-heparin anticoagulant is indicated unless there is an absolute contraindication to anticoagulation</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[1]</w:t>
        </w:r>
      </w:hyperlink>
      <w:hyperlink r:id="rId91">
        <w:r w:rsidDel="00000000" w:rsidR="00000000" w:rsidRPr="00000000">
          <w:rPr>
            <w:color w:val="0074b9"/>
            <w:sz w:val="24"/>
            <w:szCs w:val="24"/>
            <w:rtl w:val="0"/>
          </w:rPr>
          <w:t xml:space="preserve">[3]</w:t>
        </w:r>
      </w:hyperlink>
      <w:hyperlink r:id="rId9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2">
      <w:pPr>
        <w:pStyle w:val="Heading3"/>
        <w:keepNext w:val="0"/>
        <w:keepLines w:val="0"/>
        <w:shd w:fill="ffffff" w:val="clear"/>
        <w:spacing w:after="40" w:before="460" w:line="346.66666666666663" w:lineRule="auto"/>
        <w:rPr>
          <w:b w:val="1"/>
          <w:bCs w:val="1"/>
          <w:color w:val="232323"/>
          <w:sz w:val="27"/>
          <w:szCs w:val="27"/>
        </w:rPr>
      </w:pPr>
      <w:bookmarkStart w:colFirst="0" w:colLast="0" w:name="_wentt41nfvmr" w:id="10"/>
      <w:bookmarkEnd w:id="10"/>
      <w:r w:rsidDel="00000000" w:rsidR="00000000" w:rsidRPr="00000000">
        <w:rPr>
          <w:b w:val="1"/>
          <w:bCs w:val="1"/>
          <w:color w:val="232323"/>
          <w:sz w:val="27"/>
          <w:szCs w:val="27"/>
          <w:rtl w:val="0"/>
        </w:rPr>
        <w:t xml:space="preserve">Use of Apixaban for VTE in Patients with HIT</w:t>
      </w:r>
    </w:p>
    <w:p w:rsidR="00000000" w:rsidDel="00000000" w:rsidP="00000000" w:rsidRDefault="00000000" w:rsidRPr="00000000" w14:paraId="00000043">
      <w:pPr>
        <w:numPr>
          <w:ilvl w:val="0"/>
          <w:numId w:val="18"/>
        </w:numPr>
        <w:shd w:fill="ffffff" w:val="clear"/>
        <w:spacing w:after="0" w:afterAutospacing="0" w:before="220" w:line="390" w:lineRule="auto"/>
        <w:ind w:left="720" w:hanging="360"/>
        <w:rPr>
          <w:sz w:val="24"/>
          <w:szCs w:val="24"/>
        </w:rPr>
      </w:pPr>
      <w:hyperlink r:id="rId93">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 direct oral factor Xa inhibitor, is considered an appropriate non-heparin anticoagulant option for the treatment of VTE in patients with a history of HIT </w:t>
      </w:r>
      <w:hyperlink r:id="rId94">
        <w:r w:rsidDel="00000000" w:rsidR="00000000" w:rsidRPr="00000000">
          <w:rPr>
            <w:color w:val="0074b9"/>
            <w:sz w:val="24"/>
            <w:szCs w:val="24"/>
            <w:rtl w:val="0"/>
          </w:rPr>
          <w:t xml:space="preserve">[1]</w:t>
        </w:r>
      </w:hyperlink>
      <w:hyperlink r:id="rId95">
        <w:r w:rsidDel="00000000" w:rsidR="00000000" w:rsidRPr="00000000">
          <w:rPr>
            <w:color w:val="0074b9"/>
            <w:sz w:val="24"/>
            <w:szCs w:val="24"/>
            <w:rtl w:val="0"/>
          </w:rPr>
          <w:t xml:space="preserve">[5]</w:t>
        </w:r>
      </w:hyperlink>
      <w:hyperlink r:id="rId96">
        <w:r w:rsidDel="00000000" w:rsidR="00000000" w:rsidRPr="00000000">
          <w:rPr>
            <w:color w:val="0074b9"/>
            <w:sz w:val="24"/>
            <w:szCs w:val="24"/>
            <w:rtl w:val="0"/>
          </w:rPr>
          <w:t xml:space="preserve">[6]</w:t>
        </w:r>
      </w:hyperlink>
      <w:hyperlink r:id="rId97">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4">
      <w:pPr>
        <w:numPr>
          <w:ilvl w:val="0"/>
          <w:numId w:val="1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Observational studies and expert guidance support the use of direct oral anticoagulants (DOACs), including </w:t>
      </w:r>
      <w:hyperlink r:id="rId98">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in patients with HIT, as these agents do not stimulate HIT antibodies and have not been associated with adverse effects related to HIT </w:t>
      </w:r>
      <w:hyperlink r:id="rId99">
        <w:r w:rsidDel="00000000" w:rsidR="00000000" w:rsidRPr="00000000">
          <w:rPr>
            <w:color w:val="0074b9"/>
            <w:sz w:val="24"/>
            <w:szCs w:val="24"/>
            <w:rtl w:val="0"/>
          </w:rPr>
          <w:t xml:space="preserve">[5]</w:t>
        </w:r>
      </w:hyperlink>
      <w:hyperlink r:id="rId10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18"/>
        </w:numPr>
        <w:shd w:fill="ffffff" w:val="clear"/>
        <w:spacing w:after="0" w:afterAutospacing="0" w:before="0" w:beforeAutospacing="0" w:line="390" w:lineRule="auto"/>
        <w:ind w:left="720" w:hanging="360"/>
        <w:rPr>
          <w:sz w:val="24"/>
          <w:szCs w:val="24"/>
        </w:rPr>
      </w:pPr>
      <w:hyperlink r:id="rId101">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preferred over rivaroxaban due to its twice-daily dosing, which may provide more stable drug levels </w:t>
      </w:r>
      <w:hyperlink r:id="rId10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1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efficacy and safety of DOACs (including </w:t>
      </w:r>
      <w:hyperlink r:id="rId103">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in HIT appear similar to parenteral non-heparin anticoagulants, with a trend toward lower bleeding risk, though robust randomized trial data are lacking </w:t>
      </w:r>
      <w:hyperlink r:id="rId10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7">
      <w:pPr>
        <w:numPr>
          <w:ilvl w:val="0"/>
          <w:numId w:val="1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guidance, see UpToDate Lexidrug information on </w:t>
      </w:r>
      <w:hyperlink r:id="rId105">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and UpToDate clinical topic recommendations </w:t>
      </w:r>
      <w:hyperlink r:id="rId106">
        <w:r w:rsidDel="00000000" w:rsidR="00000000" w:rsidRPr="00000000">
          <w:rPr>
            <w:color w:val="0074b9"/>
            <w:sz w:val="24"/>
            <w:szCs w:val="24"/>
            <w:rtl w:val="0"/>
          </w:rPr>
          <w:t xml:space="preserve">[5]</w:t>
        </w:r>
      </w:hyperlink>
      <w:hyperlink r:id="rId10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8">
      <w:pPr>
        <w:pStyle w:val="Heading3"/>
        <w:keepNext w:val="0"/>
        <w:keepLines w:val="0"/>
        <w:shd w:fill="ffffff" w:val="clear"/>
        <w:spacing w:after="40" w:before="460" w:line="346.66666666666663" w:lineRule="auto"/>
        <w:rPr>
          <w:b w:val="1"/>
          <w:bCs w:val="1"/>
          <w:color w:val="232323"/>
          <w:sz w:val="27"/>
          <w:szCs w:val="27"/>
        </w:rPr>
      </w:pPr>
      <w:bookmarkStart w:colFirst="0" w:colLast="0" w:name="_1gj2hg38pqqu" w:id="11"/>
      <w:bookmarkEnd w:id="11"/>
      <w:r w:rsidDel="00000000" w:rsidR="00000000" w:rsidRPr="00000000">
        <w:rPr>
          <w:b w:val="1"/>
          <w:bCs w:val="1"/>
          <w:color w:val="232323"/>
          <w:sz w:val="27"/>
          <w:szCs w:val="27"/>
          <w:rtl w:val="0"/>
        </w:rPr>
        <w:t xml:space="preserve">Rationale</w:t>
      </w:r>
    </w:p>
    <w:p w:rsidR="00000000" w:rsidDel="00000000" w:rsidP="00000000" w:rsidRDefault="00000000" w:rsidRPr="00000000" w14:paraId="00000049">
      <w:pPr>
        <w:numPr>
          <w:ilvl w:val="0"/>
          <w:numId w:val="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The rationale for using </w:t>
      </w:r>
      <w:hyperlink r:id="rId108">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in HIT is based on its mechanism of action (direct factor Xa inhibition), lack of interaction with HIT antibodies, and evidence from observational studies and expert consensus </w:t>
      </w:r>
      <w:hyperlink r:id="rId109">
        <w:r w:rsidDel="00000000" w:rsidR="00000000" w:rsidRPr="00000000">
          <w:rPr>
            <w:color w:val="0074b9"/>
            <w:sz w:val="24"/>
            <w:szCs w:val="24"/>
            <w:rtl w:val="0"/>
          </w:rPr>
          <w:t xml:space="preserve">[5]</w:t>
        </w:r>
      </w:hyperlink>
      <w:hyperlink r:id="rId11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7"/>
        </w:numPr>
        <w:shd w:fill="ffffff" w:val="clear"/>
        <w:spacing w:before="0" w:beforeAutospacing="0" w:line="390" w:lineRule="auto"/>
        <w:ind w:left="720" w:hanging="360"/>
        <w:rPr>
          <w:sz w:val="24"/>
          <w:szCs w:val="24"/>
        </w:rPr>
      </w:pPr>
      <w:hyperlink r:id="rId111">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not a heparin derivative and does not promote platelet activation in the presence of HIT antibodies </w:t>
      </w:r>
      <w:hyperlink r:id="rId11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1ily93jzppuc" w:id="12"/>
      <w:bookmarkEnd w:id="12"/>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4C">
      <w:pPr>
        <w:numPr>
          <w:ilvl w:val="0"/>
          <w:numId w:val="5"/>
        </w:numPr>
        <w:shd w:fill="ffffff" w:val="clear"/>
        <w:spacing w:after="0" w:afterAutospacing="0" w:before="220" w:line="390" w:lineRule="auto"/>
        <w:ind w:left="720" w:hanging="360"/>
      </w:pPr>
      <w:r w:rsidDel="00000000" w:rsidR="00000000" w:rsidRPr="00000000">
        <w:rPr>
          <w:color w:val="232323"/>
          <w:sz w:val="24"/>
          <w:szCs w:val="24"/>
          <w:rtl w:val="0"/>
        </w:rPr>
        <w:t xml:space="preserve">Patients with HIT should be monitored for bleeding and recurrent thrombosis during anticoagulation </w:t>
      </w:r>
      <w:hyperlink r:id="rId113">
        <w:r w:rsidDel="00000000" w:rsidR="00000000" w:rsidRPr="00000000">
          <w:rPr>
            <w:color w:val="0074b9"/>
            <w:sz w:val="24"/>
            <w:szCs w:val="24"/>
            <w:rtl w:val="0"/>
          </w:rPr>
          <w:t xml:space="preserve">[3]</w:t>
        </w:r>
      </w:hyperlink>
      <w:hyperlink r:id="rId114">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4D">
      <w:pPr>
        <w:numPr>
          <w:ilvl w:val="0"/>
          <w:numId w:val="5"/>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Lifelong avoidance of all heparin products should be emphasized </w:t>
      </w:r>
      <w:hyperlink r:id="rId1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5"/>
        </w:numPr>
        <w:shd w:fill="ffffff" w:val="clear"/>
        <w:spacing w:before="0" w:beforeAutospacing="0" w:line="390" w:lineRule="auto"/>
        <w:ind w:left="720" w:hanging="360"/>
      </w:pPr>
      <w:r w:rsidDel="00000000" w:rsidR="00000000" w:rsidRPr="00000000">
        <w:rPr>
          <w:color w:val="232323"/>
          <w:sz w:val="24"/>
          <w:szCs w:val="24"/>
          <w:rtl w:val="0"/>
        </w:rPr>
        <w:t xml:space="preserve">For patients with kidney or liver impairment, review product information and consider alternative agents if needed </w:t>
      </w:r>
      <w:hyperlink r:id="rId11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s1a2s0q8l85x" w:id="13"/>
      <w:bookmarkEnd w:id="13"/>
      <w:r w:rsidDel="00000000" w:rsidR="00000000" w:rsidRPr="00000000">
        <w:rPr>
          <w:b w:val="1"/>
          <w:bCs w:val="1"/>
          <w:color w:val="232323"/>
          <w:sz w:val="27"/>
          <w:szCs w:val="27"/>
          <w:rtl w:val="0"/>
        </w:rPr>
        <w:t xml:space="preserve">Key Points</w:t>
      </w:r>
    </w:p>
    <w:p w:rsidR="00000000" w:rsidDel="00000000" w:rsidP="00000000" w:rsidRDefault="00000000" w:rsidRPr="00000000" w14:paraId="00000050">
      <w:pPr>
        <w:numPr>
          <w:ilvl w:val="0"/>
          <w:numId w:val="3"/>
        </w:numPr>
        <w:shd w:fill="ffffff" w:val="clear"/>
        <w:spacing w:after="0" w:afterAutospacing="0" w:before="220" w:line="390" w:lineRule="auto"/>
        <w:ind w:left="720" w:hanging="360"/>
      </w:pPr>
      <w:hyperlink r:id="rId117">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an appropriate and safe option for VTE treatment in patients with a history of HIT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[5]</w:t>
        </w:r>
      </w:hyperlink>
      <w:hyperlink r:id="rId12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1">
      <w:pPr>
        <w:numPr>
          <w:ilvl w:val="0"/>
          <w:numId w:val="3"/>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DOACs, including </w:t>
      </w:r>
      <w:hyperlink r:id="rId121">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do not stimulate HIT antibodies and are supported by observational data and expert consensus </w:t>
      </w:r>
      <w:hyperlink r:id="rId12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2">
      <w:pPr>
        <w:numPr>
          <w:ilvl w:val="0"/>
          <w:numId w:val="3"/>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Avoid all forms of heparin for life in patients with HIT </w:t>
      </w:r>
      <w:hyperlink r:id="rId12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3">
      <w:pPr>
        <w:numPr>
          <w:ilvl w:val="0"/>
          <w:numId w:val="3"/>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Monitor for bleeding and thrombosis during treatment </w:t>
      </w:r>
      <w:hyperlink r:id="rId124">
        <w:r w:rsidDel="00000000" w:rsidR="00000000" w:rsidRPr="00000000">
          <w:rPr>
            <w:color w:val="0074b9"/>
            <w:sz w:val="24"/>
            <w:szCs w:val="24"/>
            <w:rtl w:val="0"/>
          </w:rPr>
          <w:t xml:space="preserve">[3]</w:t>
        </w:r>
      </w:hyperlink>
      <w:hyperlink r:id="rId125">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4">
      <w:pPr>
        <w:numPr>
          <w:ilvl w:val="0"/>
          <w:numId w:val="3"/>
        </w:numPr>
        <w:shd w:fill="ffffff" w:val="clear"/>
        <w:spacing w:before="0" w:beforeAutospacing="0" w:line="390" w:lineRule="auto"/>
        <w:ind w:left="720" w:hanging="360"/>
      </w:pPr>
      <w:r w:rsidDel="00000000" w:rsidR="00000000" w:rsidRPr="00000000">
        <w:rPr>
          <w:color w:val="232323"/>
          <w:sz w:val="24"/>
          <w:szCs w:val="24"/>
          <w:rtl w:val="0"/>
        </w:rPr>
        <w:t xml:space="preserve">For dosing and safety details, consult UpToDate Lexidrug information on </w:t>
      </w:r>
      <w:hyperlink r:id="rId126">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and UpToDate clinical topic recommendations </w:t>
      </w:r>
      <w:hyperlink r:id="rId127">
        <w:r w:rsidDel="00000000" w:rsidR="00000000" w:rsidRPr="00000000">
          <w:rPr>
            <w:color w:val="0074b9"/>
            <w:sz w:val="24"/>
            <w:szCs w:val="24"/>
            <w:rtl w:val="0"/>
          </w:rPr>
          <w:t xml:space="preserve">[5]</w:t>
        </w:r>
      </w:hyperlink>
      <w:hyperlink r:id="rId12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5">
      <w:pPr>
        <w:pStyle w:val="Heading3"/>
        <w:keepNext w:val="0"/>
        <w:keepLines w:val="0"/>
        <w:shd w:fill="ffffff" w:val="clear"/>
        <w:spacing w:after="40" w:before="460" w:line="346.66666666666663" w:lineRule="auto"/>
        <w:rPr>
          <w:b w:val="1"/>
          <w:bCs w:val="1"/>
          <w:color w:val="232323"/>
          <w:sz w:val="27"/>
          <w:szCs w:val="27"/>
        </w:rPr>
      </w:pPr>
      <w:bookmarkStart w:colFirst="0" w:colLast="0" w:name="_s79sj6ullu6p"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5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7">
      <w:pPr>
        <w:numPr>
          <w:ilvl w:val="0"/>
          <w:numId w:val="12"/>
        </w:numPr>
        <w:shd w:fill="ffffff" w:val="clear"/>
        <w:spacing w:after="0" w:afterAutospacing="0" w:before="220" w:line="390" w:lineRule="auto"/>
        <w:ind w:left="720" w:hanging="360"/>
      </w:pPr>
      <w:hyperlink r:id="rId129">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58">
      <w:pPr>
        <w:numPr>
          <w:ilvl w:val="0"/>
          <w:numId w:val="12"/>
        </w:numPr>
        <w:shd w:fill="ffffff" w:val="clear"/>
        <w:spacing w:after="0" w:afterAutospacing="0" w:before="0" w:beforeAutospacing="0" w:line="390" w:lineRule="auto"/>
        <w:ind w:left="720" w:hanging="360"/>
      </w:pPr>
      <w:hyperlink r:id="rId130">
        <w:r w:rsidDel="00000000" w:rsidR="00000000" w:rsidRPr="00000000">
          <w:rPr>
            <w:color w:val="0074b9"/>
            <w:sz w:val="24"/>
            <w:szCs w:val="24"/>
            <w:rtl w:val="0"/>
          </w:rPr>
          <w:t xml:space="preserve">What if the patient has severe kidney or liver impairment?</w:t>
        </w:r>
      </w:hyperlink>
      <w:r w:rsidDel="00000000" w:rsidR="00000000" w:rsidRPr="00000000">
        <w:rPr>
          <w:rtl w:val="0"/>
        </w:rPr>
      </w:r>
    </w:p>
    <w:p w:rsidR="00000000" w:rsidDel="00000000" w:rsidP="00000000" w:rsidRDefault="00000000" w:rsidRPr="00000000" w14:paraId="00000059">
      <w:pPr>
        <w:numPr>
          <w:ilvl w:val="0"/>
          <w:numId w:val="12"/>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patient has active bleeding or high bleeding risk?</w:t>
        </w:r>
      </w:hyperlink>
      <w:r w:rsidDel="00000000" w:rsidR="00000000" w:rsidRPr="00000000">
        <w:rPr>
          <w:rtl w:val="0"/>
        </w:rPr>
      </w:r>
    </w:p>
    <w:p w:rsidR="00000000" w:rsidDel="00000000" w:rsidP="00000000" w:rsidRDefault="00000000" w:rsidRPr="00000000" w14:paraId="0000005A">
      <w:pPr>
        <w:numPr>
          <w:ilvl w:val="0"/>
          <w:numId w:val="12"/>
        </w:numPr>
        <w:shd w:fill="ffffff" w:val="clear"/>
        <w:spacing w:after="0" w:afterAutospacing="0" w:before="0" w:beforeAutospacing="0" w:line="390" w:lineRule="auto"/>
        <w:ind w:left="720" w:hanging="360"/>
      </w:pPr>
      <w:hyperlink r:id="rId132">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5B">
      <w:pPr>
        <w:numPr>
          <w:ilvl w:val="0"/>
          <w:numId w:val="12"/>
        </w:numPr>
        <w:shd w:fill="ffffff" w:val="clear"/>
        <w:spacing w:after="0" w:afterAutospacing="0" w:before="0" w:beforeAutospacing="0" w:line="390" w:lineRule="auto"/>
        <w:ind w:left="720" w:hanging="360"/>
      </w:pPr>
      <w:hyperlink r:id="rId133">
        <w:r w:rsidDel="00000000" w:rsidR="00000000" w:rsidRPr="00000000">
          <w:rPr>
            <w:color w:val="0074b9"/>
            <w:sz w:val="24"/>
            <w:szCs w:val="24"/>
            <w:rtl w:val="0"/>
          </w:rPr>
          <w:t xml:space="preserve">What if the patient has cancer-associated VTE?</w:t>
        </w:r>
      </w:hyperlink>
      <w:r w:rsidDel="00000000" w:rsidR="00000000" w:rsidRPr="00000000">
        <w:rPr>
          <w:rtl w:val="0"/>
        </w:rPr>
      </w:r>
    </w:p>
    <w:p w:rsidR="00000000" w:rsidDel="00000000" w:rsidP="00000000" w:rsidRDefault="00000000" w:rsidRPr="00000000" w14:paraId="0000005C">
      <w:pPr>
        <w:numPr>
          <w:ilvl w:val="0"/>
          <w:numId w:val="12"/>
        </w:numPr>
        <w:shd w:fill="ffffff" w:val="clear"/>
        <w:spacing w:before="0" w:beforeAutospacing="0" w:line="390" w:lineRule="auto"/>
        <w:ind w:left="720" w:hanging="360"/>
      </w:pPr>
      <w:hyperlink r:id="rId134">
        <w:r w:rsidDel="00000000" w:rsidR="00000000" w:rsidRPr="00000000">
          <w:rPr>
            <w:color w:val="0074b9"/>
            <w:sz w:val="24"/>
            <w:szCs w:val="24"/>
            <w:rtl w:val="0"/>
          </w:rPr>
          <w:t xml:space="preserve">What if the patient has extensive clot burden or hemodynamic instability?</w:t>
        </w:r>
      </w:hyperlink>
      <w:r w:rsidDel="00000000" w:rsidR="00000000" w:rsidRPr="00000000">
        <w:rPr>
          <w:rtl w:val="0"/>
        </w:rPr>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alternative anticoagulants for HIT.</w:t>
      </w:r>
    </w:p>
    <w:p w:rsidR="00000000" w:rsidDel="00000000" w:rsidP="00000000" w:rsidRDefault="00000000" w:rsidRPr="00000000" w14:paraId="0000005E">
      <w:pPr>
        <w:pStyle w:val="Heading3"/>
        <w:keepNext w:val="0"/>
        <w:keepLines w:val="0"/>
        <w:shd w:fill="ffffff" w:val="clear"/>
        <w:spacing w:after="40" w:before="460" w:line="346.66666666666663" w:lineRule="auto"/>
        <w:rPr>
          <w:b w:val="1"/>
          <w:bCs w:val="1"/>
          <w:color w:val="232323"/>
          <w:sz w:val="27"/>
          <w:szCs w:val="27"/>
        </w:rPr>
      </w:pPr>
      <w:bookmarkStart w:colFirst="0" w:colLast="0" w:name="_3d47dy9zc66s"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F">
      <w:pPr>
        <w:numPr>
          <w:ilvl w:val="0"/>
          <w:numId w:val="15"/>
        </w:numPr>
        <w:shd w:fill="ffffff" w:val="clear"/>
        <w:spacing w:after="0" w:afterAutospacing="0" w:before="240" w:lineRule="auto"/>
        <w:ind w:left="720" w:hanging="360"/>
      </w:pPr>
      <w:hyperlink r:id="rId135">
        <w:r w:rsidDel="00000000" w:rsidR="00000000" w:rsidRPr="00000000">
          <w:rPr>
            <w:color w:val="0074b9"/>
            <w:sz w:val="24"/>
            <w:szCs w:val="24"/>
            <w:rtl w:val="0"/>
          </w:rPr>
          <w:t xml:space="preserve">Overview of the treatment of lower extremity deep vein thrombosis (DVT) &gt; SPECIAL POPULATIONS &gt; Heparin-induced thrombocytopenia</w:t>
        </w:r>
      </w:hyperlink>
      <w:r w:rsidDel="00000000" w:rsidR="00000000" w:rsidRPr="00000000">
        <w:rPr>
          <w:rtl w:val="0"/>
        </w:rPr>
      </w:r>
    </w:p>
    <w:p w:rsidR="00000000" w:rsidDel="00000000" w:rsidP="00000000" w:rsidRDefault="00000000" w:rsidRPr="00000000" w14:paraId="00000060">
      <w:pPr>
        <w:numPr>
          <w:ilvl w:val="0"/>
          <w:numId w:val="15"/>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Management of heparin-induced thrombocytopenia &gt; SUBSEQUENT MANAGEMENT &gt; Lifelong heparin avoidance (list of sources)</w:t>
        </w:r>
      </w:hyperlink>
      <w:r w:rsidDel="00000000" w:rsidR="00000000" w:rsidRPr="00000000">
        <w:rPr>
          <w:rtl w:val="0"/>
        </w:rPr>
      </w:r>
    </w:p>
    <w:p w:rsidR="00000000" w:rsidDel="00000000" w:rsidP="00000000" w:rsidRDefault="00000000" w:rsidRPr="00000000" w14:paraId="00000061">
      <w:pPr>
        <w:numPr>
          <w:ilvl w:val="0"/>
          <w:numId w:val="15"/>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Management of heparin-induced thrombocytopenia &gt; IMMEDIATE ACTIONS &gt; Overview of initial management</w:t>
        </w:r>
      </w:hyperlink>
      <w:r w:rsidDel="00000000" w:rsidR="00000000" w:rsidRPr="00000000">
        <w:rPr>
          <w:rtl w:val="0"/>
        </w:rPr>
      </w:r>
    </w:p>
    <w:p w:rsidR="00000000" w:rsidDel="00000000" w:rsidP="00000000" w:rsidRDefault="00000000" w:rsidRPr="00000000" w14:paraId="00000062">
      <w:pPr>
        <w:numPr>
          <w:ilvl w:val="0"/>
          <w:numId w:val="15"/>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Management of heparin-induced thrombocytopenia &gt; SUMMARY AND RECOMMENDATIONS</w:t>
        </w:r>
      </w:hyperlink>
      <w:r w:rsidDel="00000000" w:rsidR="00000000" w:rsidRPr="00000000">
        <w:rPr>
          <w:rtl w:val="0"/>
        </w:rPr>
      </w:r>
    </w:p>
    <w:p w:rsidR="00000000" w:rsidDel="00000000" w:rsidP="00000000" w:rsidRDefault="00000000" w:rsidRPr="00000000" w14:paraId="00000063">
      <w:pPr>
        <w:numPr>
          <w:ilvl w:val="0"/>
          <w:numId w:val="15"/>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Management of heparin-induced thrombocytopenia &gt; ANTICOAGULATION &gt; Choice and dose of non-heparin anticoagulant</w:t>
        </w:r>
      </w:hyperlink>
      <w:r w:rsidDel="00000000" w:rsidR="00000000" w:rsidRPr="00000000">
        <w:rPr>
          <w:rtl w:val="0"/>
        </w:rPr>
      </w:r>
    </w:p>
    <w:p w:rsidR="00000000" w:rsidDel="00000000" w:rsidP="00000000" w:rsidRDefault="00000000" w:rsidRPr="00000000" w14:paraId="00000064">
      <w:pPr>
        <w:numPr>
          <w:ilvl w:val="0"/>
          <w:numId w:val="15"/>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Management of heparin-induced thrombocytopenia &gt; ANTICOAGULATION &gt; Specific agents &gt; Direct oral anticoagulants</w:t>
        </w:r>
      </w:hyperlink>
      <w:r w:rsidDel="00000000" w:rsidR="00000000" w:rsidRPr="00000000">
        <w:rPr>
          <w:rtl w:val="0"/>
        </w:rPr>
      </w:r>
    </w:p>
    <w:p w:rsidR="00000000" w:rsidDel="00000000" w:rsidP="00000000" w:rsidRDefault="00000000" w:rsidRPr="00000000" w14:paraId="00000065">
      <w:pPr>
        <w:numPr>
          <w:ilvl w:val="0"/>
          <w:numId w:val="15"/>
        </w:numPr>
        <w:shd w:fill="ffffff" w:val="clear"/>
        <w:spacing w:after="0" w:afterAutospacing="0" w:before="0" w:beforeAutospacing="0" w:lineRule="auto"/>
        <w:ind w:left="720" w:hanging="360"/>
      </w:pPr>
      <w:hyperlink r:id="rId141">
        <w:r w:rsidDel="00000000" w:rsidR="00000000" w:rsidRPr="00000000">
          <w:rPr>
            <w:color w:val="0074b9"/>
            <w:sz w:val="24"/>
            <w:szCs w:val="24"/>
            <w:rtl w:val="0"/>
          </w:rPr>
          <w:t xml:space="preserve">Venous thromboembolism: Anticoagulation after initial management &gt; SELECTION OF AGENT &gt; Special populations &gt; Heparin-induced thrombocytopenia</w:t>
        </w:r>
      </w:hyperlink>
      <w:r w:rsidDel="00000000" w:rsidR="00000000" w:rsidRPr="00000000">
        <w:rPr>
          <w:rtl w:val="0"/>
        </w:rPr>
      </w:r>
    </w:p>
    <w:p w:rsidR="00000000" w:rsidDel="00000000" w:rsidP="00000000" w:rsidRDefault="00000000" w:rsidRPr="00000000" w14:paraId="00000066">
      <w:pPr>
        <w:numPr>
          <w:ilvl w:val="0"/>
          <w:numId w:val="15"/>
        </w:numPr>
        <w:shd w:fill="ffffff" w:val="clear"/>
        <w:spacing w:before="0" w:beforeAutospacing="0" w:lineRule="auto"/>
        <w:ind w:left="720" w:hanging="360"/>
      </w:pPr>
      <w:hyperlink r:id="rId142">
        <w:r w:rsidDel="00000000" w:rsidR="00000000" w:rsidRPr="00000000">
          <w:rPr>
            <w:color w:val="0074b9"/>
            <w:sz w:val="24"/>
            <w:szCs w:val="24"/>
            <w:rtl w:val="0"/>
          </w:rPr>
          <w:t xml:space="preserve">Management of heparin-induced thrombocytopenia &gt; SUBSEQUENT MANAGEMENT &gt; Evaluation for thrombosis</w:t>
        </w:r>
      </w:hyperlink>
      <w:r w:rsidDel="00000000" w:rsidR="00000000" w:rsidRPr="00000000">
        <w:rPr>
          <w:rtl w:val="0"/>
        </w:rPr>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y00qj21oik"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36</w:t>
      </w:r>
      <w:r w:rsidDel="00000000" w:rsidR="00000000" w:rsidRPr="00000000">
        <w:rPr>
          <w:rtl w:val="0"/>
        </w:rPr>
      </w:r>
    </w:p>
    <w:p w:rsidR="00000000" w:rsidDel="00000000" w:rsidP="00000000" w:rsidRDefault="00000000" w:rsidRPr="00000000" w14:paraId="0000006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drug-drug interactions between</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amiodarone</w:t>
        </w:r>
      </w:hyperlink>
      <w:r w:rsidDel="00000000" w:rsidR="00000000" w:rsidRPr="00000000">
        <w:rPr>
          <w:color w:val="232323"/>
          <w:sz w:val="24"/>
          <w:szCs w:val="24"/>
          <w:rtl w:val="0"/>
        </w:rPr>
        <w:t xml:space="preserve"> and</w:t>
      </w:r>
      <w:hyperlink r:id="rId145">
        <w:r w:rsidDel="00000000" w:rsidR="00000000" w:rsidRPr="00000000">
          <w:rPr>
            <w:color w:val="232323"/>
            <w:sz w:val="24"/>
            <w:szCs w:val="24"/>
            <w:rtl w:val="0"/>
          </w:rPr>
          <w:t xml:space="preserve"> </w:t>
        </w:r>
      </w:hyperlink>
      <w:hyperlink r:id="rId146">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in an adult patient.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hd w:fill="ffffff" w:val="clear"/>
        <w:spacing w:line="390" w:lineRule="auto"/>
        <w:rPr>
          <w:color w:val="232323"/>
          <w:sz w:val="24"/>
          <w:szCs w:val="24"/>
        </w:rPr>
      </w:pPr>
      <w:hyperlink r:id="rId147">
        <w:r w:rsidDel="00000000" w:rsidR="00000000" w:rsidRPr="00000000">
          <w:rPr>
            <w:color w:val="0074b9"/>
            <w:sz w:val="24"/>
            <w:szCs w:val="24"/>
            <w:rtl w:val="0"/>
          </w:rPr>
          <w:t xml:space="preserve">Amiodarone</w:t>
        </w:r>
      </w:hyperlink>
      <w:r w:rsidDel="00000000" w:rsidR="00000000" w:rsidRPr="00000000">
        <w:rPr>
          <w:color w:val="232323"/>
          <w:sz w:val="24"/>
          <w:szCs w:val="24"/>
          <w:rtl w:val="0"/>
        </w:rPr>
        <w:t xml:space="preserve"> may increase serum concentrations of</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which can potentially increase the risk of bleeding. The recommended management is to monitor the patient for increased anticoagulant effects when these drugs are used together</w:t>
      </w:r>
      <w:hyperlink r:id="rId150">
        <w:r w:rsidDel="00000000" w:rsidR="00000000" w:rsidRPr="00000000">
          <w:rPr>
            <w:color w:val="232323"/>
            <w:sz w:val="24"/>
            <w:szCs w:val="24"/>
            <w:rtl w:val="0"/>
          </w:rPr>
          <w:t xml:space="preserve"> </w:t>
        </w:r>
      </w:hyperlink>
      <w:hyperlink r:id="rId151">
        <w:r w:rsidDel="00000000" w:rsidR="00000000" w:rsidRPr="00000000">
          <w:rPr>
            <w:color w:val="0074b9"/>
            <w:sz w:val="24"/>
            <w:szCs w:val="24"/>
            <w:rtl w:val="0"/>
          </w:rPr>
          <w:t xml:space="preserve">[1]</w:t>
        </w:r>
      </w:hyperlink>
      <w:hyperlink r:id="rId15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No specific dose adjustment is provided in the UpToDate guidance, but clinicians should be vigilant for signs and symptoms of bleeding and consider the need for closer monitoring or therapy modification based on clinical judgment</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C">
      <w:pPr>
        <w:shd w:fill="ffffff" w:val="clear"/>
        <w:spacing w:line="390" w:lineRule="auto"/>
        <w:rPr>
          <w:color w:val="232323"/>
          <w:sz w:val="24"/>
          <w:szCs w:val="24"/>
        </w:rPr>
      </w:pPr>
      <w:r w:rsidDel="00000000" w:rsidR="00000000" w:rsidRPr="00000000">
        <w:rPr>
          <w:color w:val="232323"/>
          <w:sz w:val="24"/>
          <w:szCs w:val="24"/>
          <w:rtl w:val="0"/>
        </w:rPr>
        <w:t xml:space="preserve">For a comprehensive review of drug interactions, consult the "Interactions" section of the UpToDate Lexidrug monograph for</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amiodarone</w:t>
        </w:r>
      </w:hyperlink>
      <w:r w:rsidDel="00000000" w:rsidR="00000000" w:rsidRPr="00000000">
        <w:rPr>
          <w:color w:val="232323"/>
          <w:sz w:val="24"/>
          <w:szCs w:val="24"/>
          <w:rtl w:val="0"/>
        </w:rPr>
        <w:t xml:space="preserve"> and</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and consider using the UpToDate Drug Interactions module for patient-specific recommendations</w:t>
      </w:r>
      <w:hyperlink r:id="rId159">
        <w:r w:rsidDel="00000000" w:rsidR="00000000" w:rsidRPr="00000000">
          <w:rPr>
            <w:color w:val="232323"/>
            <w:sz w:val="24"/>
            <w:szCs w:val="24"/>
            <w:rtl w:val="0"/>
          </w:rPr>
          <w:t xml:space="preserve"> </w:t>
        </w:r>
      </w:hyperlink>
      <w:hyperlink r:id="rId160">
        <w:r w:rsidDel="00000000" w:rsidR="00000000" w:rsidRPr="00000000">
          <w:rPr>
            <w:color w:val="0074b9"/>
            <w:sz w:val="24"/>
            <w:szCs w:val="24"/>
            <w:rtl w:val="0"/>
          </w:rPr>
          <w:t xml:space="preserve">[1]</w:t>
        </w:r>
      </w:hyperlink>
      <w:hyperlink r:id="rId16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D">
      <w:pPr>
        <w:pStyle w:val="Heading3"/>
        <w:keepNext w:val="0"/>
        <w:keepLines w:val="0"/>
        <w:shd w:fill="ffffff" w:val="clear"/>
        <w:spacing w:after="40" w:before="460" w:line="346.66666666666663" w:lineRule="auto"/>
        <w:rPr>
          <w:b w:val="1"/>
          <w:bCs w:val="1"/>
          <w:color w:val="232323"/>
          <w:sz w:val="27"/>
          <w:szCs w:val="27"/>
        </w:rPr>
      </w:pPr>
      <w:bookmarkStart w:colFirst="0" w:colLast="0" w:name="_azf6g8bfdtyk" w:id="17"/>
      <w:bookmarkEnd w:id="17"/>
      <w:r w:rsidDel="00000000" w:rsidR="00000000" w:rsidRPr="00000000">
        <w:rPr>
          <w:b w:val="1"/>
          <w:bCs w:val="1"/>
          <w:color w:val="232323"/>
          <w:sz w:val="27"/>
          <w:szCs w:val="27"/>
          <w:rtl w:val="0"/>
        </w:rPr>
        <w:t xml:space="preserve">Key Points</w:t>
      </w:r>
    </w:p>
    <w:p w:rsidR="00000000" w:rsidDel="00000000" w:rsidP="00000000" w:rsidRDefault="00000000" w:rsidRPr="00000000" w14:paraId="0000006E">
      <w:pPr>
        <w:numPr>
          <w:ilvl w:val="0"/>
          <w:numId w:val="14"/>
        </w:numPr>
        <w:shd w:fill="ffffff" w:val="clear"/>
        <w:spacing w:after="0" w:afterAutospacing="0" w:before="220" w:line="390" w:lineRule="auto"/>
        <w:ind w:left="720" w:hanging="360"/>
        <w:rPr>
          <w:sz w:val="24"/>
          <w:szCs w:val="24"/>
        </w:rPr>
      </w:pPr>
      <w:hyperlink r:id="rId162">
        <w:r w:rsidDel="00000000" w:rsidR="00000000" w:rsidRPr="00000000">
          <w:rPr>
            <w:color w:val="0074b9"/>
            <w:sz w:val="24"/>
            <w:szCs w:val="24"/>
            <w:rtl w:val="0"/>
          </w:rPr>
          <w:t xml:space="preserve">Amiodarone</w:t>
        </w:r>
      </w:hyperlink>
      <w:r w:rsidDel="00000000" w:rsidR="00000000" w:rsidRPr="00000000">
        <w:rPr>
          <w:color w:val="232323"/>
          <w:sz w:val="24"/>
          <w:szCs w:val="24"/>
          <w:rtl w:val="0"/>
        </w:rPr>
        <w:t xml:space="preserve"> increases </w:t>
      </w:r>
      <w:hyperlink r:id="rId163">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serum concentrations; monitor for bleeding </w:t>
      </w:r>
      <w:hyperlink r:id="rId164">
        <w:r w:rsidDel="00000000" w:rsidR="00000000" w:rsidRPr="00000000">
          <w:rPr>
            <w:color w:val="0074b9"/>
            <w:sz w:val="24"/>
            <w:szCs w:val="24"/>
            <w:rtl w:val="0"/>
          </w:rPr>
          <w:t xml:space="preserve">[1]</w:t>
        </w:r>
      </w:hyperlink>
      <w:hyperlink r:id="rId16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F">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No specific dose adjustment is provided; clinical monitoring is emphasized </w:t>
      </w:r>
      <w:hyperlink r:id="rId16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the UpToDate Drug Interactions module for detailed, patient-specific recommendations </w:t>
      </w:r>
      <w:hyperlink r:id="rId16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1">
      <w:pPr>
        <w:pStyle w:val="Heading3"/>
        <w:keepNext w:val="0"/>
        <w:keepLines w:val="0"/>
        <w:shd w:fill="ffffff" w:val="clear"/>
        <w:spacing w:after="40" w:before="460" w:line="346.66666666666663" w:lineRule="auto"/>
        <w:rPr>
          <w:b w:val="1"/>
          <w:bCs w:val="1"/>
          <w:color w:val="232323"/>
          <w:sz w:val="27"/>
          <w:szCs w:val="27"/>
        </w:rPr>
      </w:pPr>
      <w:bookmarkStart w:colFirst="0" w:colLast="0" w:name="_kkhrkdvp46b0"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3">
      <w:pPr>
        <w:numPr>
          <w:ilvl w:val="0"/>
          <w:numId w:val="2"/>
        </w:numPr>
        <w:shd w:fill="ffffff" w:val="clear"/>
        <w:spacing w:after="0" w:afterAutospacing="0" w:before="220" w:line="390" w:lineRule="auto"/>
        <w:ind w:left="720" w:hanging="360"/>
      </w:pPr>
      <w:hyperlink r:id="rId168">
        <w:r w:rsidDel="00000000" w:rsidR="00000000" w:rsidRPr="00000000">
          <w:rPr>
            <w:color w:val="0074b9"/>
            <w:sz w:val="24"/>
            <w:szCs w:val="24"/>
            <w:rtl w:val="0"/>
          </w:rPr>
          <w:t xml:space="preserve">What if the patient has kidney or hepatic impairment?</w:t>
        </w:r>
      </w:hyperlink>
      <w:r w:rsidDel="00000000" w:rsidR="00000000" w:rsidRPr="00000000">
        <w:rPr>
          <w:rtl w:val="0"/>
        </w:rPr>
      </w:r>
    </w:p>
    <w:p w:rsidR="00000000" w:rsidDel="00000000" w:rsidP="00000000" w:rsidRDefault="00000000" w:rsidRPr="00000000" w14:paraId="00000074">
      <w:pPr>
        <w:numPr>
          <w:ilvl w:val="0"/>
          <w:numId w:val="2"/>
        </w:numPr>
        <w:shd w:fill="ffffff" w:val="clear"/>
        <w:spacing w:after="0" w:afterAutospacing="0" w:before="0" w:beforeAutospacing="0" w:line="390" w:lineRule="auto"/>
        <w:ind w:left="720" w:hanging="360"/>
      </w:pPr>
      <w:hyperlink r:id="rId169">
        <w:r w:rsidDel="00000000" w:rsidR="00000000" w:rsidRPr="00000000">
          <w:rPr>
            <w:color w:val="0074b9"/>
            <w:sz w:val="24"/>
            <w:szCs w:val="24"/>
            <w:rtl w:val="0"/>
          </w:rPr>
          <w:t xml:space="preserve">What if the patient is elderly or has other bleeding risk factors?</w:t>
        </w:r>
      </w:hyperlink>
      <w:r w:rsidDel="00000000" w:rsidR="00000000" w:rsidRPr="00000000">
        <w:rPr>
          <w:rtl w:val="0"/>
        </w:rPr>
      </w:r>
    </w:p>
    <w:p w:rsidR="00000000" w:rsidDel="00000000" w:rsidP="00000000" w:rsidRDefault="00000000" w:rsidRPr="00000000" w14:paraId="00000075">
      <w:pPr>
        <w:numPr>
          <w:ilvl w:val="0"/>
          <w:numId w:val="2"/>
        </w:numPr>
        <w:shd w:fill="ffffff" w:val="clear"/>
        <w:spacing w:after="0" w:afterAutospacing="0" w:before="0" w:beforeAutospacing="0" w:line="390" w:lineRule="auto"/>
        <w:ind w:left="720" w:hanging="360"/>
      </w:pPr>
      <w:hyperlink r:id="rId170">
        <w:r w:rsidDel="00000000" w:rsidR="00000000" w:rsidRPr="00000000">
          <w:rPr>
            <w:color w:val="0074b9"/>
            <w:sz w:val="24"/>
            <w:szCs w:val="24"/>
            <w:rtl w:val="0"/>
          </w:rPr>
          <w:t xml:space="preserve">What if the patient is taking other anticoagulants or antiplatelet agents?</w:t>
        </w:r>
      </w:hyperlink>
      <w:r w:rsidDel="00000000" w:rsidR="00000000" w:rsidRPr="00000000">
        <w:rPr>
          <w:rtl w:val="0"/>
        </w:rPr>
      </w:r>
    </w:p>
    <w:p w:rsidR="00000000" w:rsidDel="00000000" w:rsidP="00000000" w:rsidRDefault="00000000" w:rsidRPr="00000000" w14:paraId="00000076">
      <w:pPr>
        <w:numPr>
          <w:ilvl w:val="0"/>
          <w:numId w:val="2"/>
        </w:numPr>
        <w:shd w:fill="ffffff" w:val="clear"/>
        <w:spacing w:after="0" w:afterAutospacing="0" w:before="0" w:beforeAutospacing="0" w:line="390" w:lineRule="auto"/>
        <w:ind w:left="720" w:hanging="360"/>
      </w:pPr>
      <w:hyperlink r:id="rId171">
        <w:r w:rsidDel="00000000" w:rsidR="00000000" w:rsidRPr="00000000">
          <w:rPr>
            <w:color w:val="0074b9"/>
            <w:sz w:val="24"/>
            <w:szCs w:val="24"/>
            <w:rtl w:val="0"/>
          </w:rPr>
          <w:t xml:space="preserve">What if the patient is undergoing surgery or an invasive procedure?</w:t>
        </w:r>
      </w:hyperlink>
      <w:r w:rsidDel="00000000" w:rsidR="00000000" w:rsidRPr="00000000">
        <w:rPr>
          <w:rtl w:val="0"/>
        </w:rPr>
      </w:r>
    </w:p>
    <w:p w:rsidR="00000000" w:rsidDel="00000000" w:rsidP="00000000" w:rsidRDefault="00000000" w:rsidRPr="00000000" w14:paraId="00000077">
      <w:pPr>
        <w:numPr>
          <w:ilvl w:val="0"/>
          <w:numId w:val="2"/>
        </w:numPr>
        <w:shd w:fill="ffffff" w:val="clear"/>
        <w:spacing w:after="0" w:afterAutospacing="0" w:before="0" w:beforeAutospacing="0" w:line="390" w:lineRule="auto"/>
        <w:ind w:left="720" w:hanging="360"/>
      </w:pPr>
      <w:hyperlink r:id="rId17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8">
      <w:pPr>
        <w:numPr>
          <w:ilvl w:val="0"/>
          <w:numId w:val="2"/>
        </w:numPr>
        <w:shd w:fill="ffffff" w:val="clear"/>
        <w:spacing w:before="0" w:beforeAutospacing="0" w:line="390" w:lineRule="auto"/>
        <w:ind w:left="720" w:hanging="360"/>
      </w:pPr>
      <w:hyperlink r:id="rId173">
        <w:r w:rsidDel="00000000" w:rsidR="00000000" w:rsidRPr="00000000">
          <w:rPr>
            <w:color w:val="0074b9"/>
            <w:sz w:val="24"/>
            <w:szCs w:val="24"/>
            <w:rtl w:val="0"/>
          </w:rPr>
          <w:t xml:space="preserve">What if the patient is taking other CYP3A4 or P-gp inhibitors/inducers?</w:t>
        </w:r>
      </w:hyperlink>
      <w:r w:rsidDel="00000000" w:rsidR="00000000" w:rsidRPr="00000000">
        <w:rPr>
          <w:rtl w:val="0"/>
        </w:rPr>
      </w:r>
    </w:p>
    <w:p w:rsidR="00000000" w:rsidDel="00000000" w:rsidP="00000000" w:rsidRDefault="00000000" w:rsidRPr="00000000" w14:paraId="0000007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7A">
      <w:pPr>
        <w:pStyle w:val="Heading3"/>
        <w:keepNext w:val="0"/>
        <w:keepLines w:val="0"/>
        <w:shd w:fill="ffffff" w:val="clear"/>
        <w:spacing w:after="40" w:before="460" w:line="346.66666666666663" w:lineRule="auto"/>
        <w:rPr>
          <w:b w:val="1"/>
          <w:bCs w:val="1"/>
          <w:color w:val="232323"/>
          <w:sz w:val="27"/>
          <w:szCs w:val="27"/>
        </w:rPr>
      </w:pPr>
      <w:bookmarkStart w:colFirst="0" w:colLast="0" w:name="_b70zkatxb5si"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B">
      <w:pPr>
        <w:numPr>
          <w:ilvl w:val="0"/>
          <w:numId w:val="16"/>
        </w:numPr>
        <w:shd w:fill="ffffff" w:val="clear"/>
        <w:spacing w:after="0" w:afterAutospacing="0" w:before="240" w:lineRule="auto"/>
        <w:ind w:left="720" w:hanging="360"/>
      </w:pPr>
      <w:hyperlink r:id="rId174">
        <w:r w:rsidDel="00000000" w:rsidR="00000000" w:rsidRPr="00000000">
          <w:rPr>
            <w:color w:val="0074b9"/>
            <w:sz w:val="24"/>
            <w:szCs w:val="24"/>
            <w:rtl w:val="0"/>
          </w:rPr>
          <w:t xml:space="preserve">Apixaban: Drug information &gt; Drug Interactions</w:t>
        </w:r>
      </w:hyperlink>
      <w:r w:rsidDel="00000000" w:rsidR="00000000" w:rsidRPr="00000000">
        <w:rPr>
          <w:rtl w:val="0"/>
        </w:rPr>
      </w:r>
    </w:p>
    <w:p w:rsidR="00000000" w:rsidDel="00000000" w:rsidP="00000000" w:rsidRDefault="00000000" w:rsidRPr="00000000" w14:paraId="0000007C">
      <w:pPr>
        <w:numPr>
          <w:ilvl w:val="0"/>
          <w:numId w:val="16"/>
        </w:numPr>
        <w:shd w:fill="ffffff" w:val="clear"/>
        <w:spacing w:before="0" w:beforeAutospacing="0" w:lineRule="auto"/>
        <w:ind w:left="720" w:hanging="360"/>
      </w:pPr>
      <w:hyperlink r:id="rId175">
        <w:r w:rsidDel="00000000" w:rsidR="00000000" w:rsidRPr="00000000">
          <w:rPr>
            <w:color w:val="0074b9"/>
            <w:sz w:val="24"/>
            <w:szCs w:val="24"/>
            <w:rtl w:val="0"/>
          </w:rPr>
          <w:t xml:space="preserve">Amiodarone: Drug information &gt; Drug Interactions</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2354#H12" TargetMode="External"/><Relationship Id="rId42" Type="http://schemas.openxmlformats.org/officeDocument/2006/relationships/hyperlink" Target="https://www.uptodate.com/contents/7173#H2500455613" TargetMode="External"/><Relationship Id="rId41" Type="http://schemas.openxmlformats.org/officeDocument/2006/relationships/hyperlink" Target="https://www.uptodate.com/contents/2287#H13" TargetMode="External"/><Relationship Id="rId44" Type="http://schemas.openxmlformats.org/officeDocument/2006/relationships/hyperlink" Target="https://www.uptodate.com/contents/2374#H3365541977" TargetMode="External"/><Relationship Id="rId43" Type="http://schemas.openxmlformats.org/officeDocument/2006/relationships/hyperlink" Target="https://www.uptodate.com/contents/7173#H2500455613" TargetMode="External"/><Relationship Id="rId46" Type="http://schemas.openxmlformats.org/officeDocument/2006/relationships/hyperlink" Target="https://www.uptodate.com/contents/2354#H1661680068" TargetMode="External"/><Relationship Id="rId45" Type="http://schemas.openxmlformats.org/officeDocument/2006/relationships/hyperlink" Target="https://www.uptodate.com/contents/2354#H1661680068" TargetMode="External"/><Relationship Id="rId107" Type="http://schemas.openxmlformats.org/officeDocument/2006/relationships/hyperlink" Target="https://www.uptodate.com/contents/1369#H1129213193" TargetMode="External"/><Relationship Id="rId106" Type="http://schemas.openxmlformats.org/officeDocument/2006/relationships/hyperlink" Target="https://www.uptodate.com/contents/1369#H1159819" TargetMode="External"/><Relationship Id="rId105" Type="http://schemas.openxmlformats.org/officeDocument/2006/relationships/hyperlink" Target="https://uptodate.com/contents/85642" TargetMode="External"/><Relationship Id="rId104" Type="http://schemas.openxmlformats.org/officeDocument/2006/relationships/hyperlink" Target="https://www.uptodate.com/contents/1369#H1159819" TargetMode="External"/><Relationship Id="rId109" Type="http://schemas.openxmlformats.org/officeDocument/2006/relationships/hyperlink" Target="https://www.uptodate.com/contents/1369#H1159819" TargetMode="External"/><Relationship Id="rId108" Type="http://schemas.openxmlformats.org/officeDocument/2006/relationships/hyperlink" Target="https://uptodate.com/contents/85642" TargetMode="External"/><Relationship Id="rId48" Type="http://schemas.openxmlformats.org/officeDocument/2006/relationships/hyperlink" Target="https://www.uptodate.com/contents/7173#H2500455613" TargetMode="External"/><Relationship Id="rId47" Type="http://schemas.openxmlformats.org/officeDocument/2006/relationships/hyperlink" Target="https://www.uptodate.com/contents/7173#H2500455613" TargetMode="External"/><Relationship Id="rId49" Type="http://schemas.openxmlformats.org/officeDocument/2006/relationships/hyperlink" Target="https://www.uptodate.com/contents/2374#H3365541977" TargetMode="External"/><Relationship Id="rId103" Type="http://schemas.openxmlformats.org/officeDocument/2006/relationships/hyperlink" Target="https://uptodate.com/contents/85642" TargetMode="External"/><Relationship Id="rId102" Type="http://schemas.openxmlformats.org/officeDocument/2006/relationships/hyperlink" Target="https://www.uptodate.com/contents/1369#H1129213193" TargetMode="External"/><Relationship Id="rId101" Type="http://schemas.openxmlformats.org/officeDocument/2006/relationships/hyperlink" Target="https://uptodate.com/contents/85642" TargetMode="External"/><Relationship Id="rId100" Type="http://schemas.openxmlformats.org/officeDocument/2006/relationships/hyperlink" Target="https://www.uptodate.com/contents/1369#H1129213193"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www.uptodate.com/contents/15261#H149209301" TargetMode="External"/><Relationship Id="rId32" Type="http://schemas.openxmlformats.org/officeDocument/2006/relationships/hyperlink" Target="https://ai.uptodate.com/" TargetMode="External"/><Relationship Id="rId35" Type="http://schemas.openxmlformats.org/officeDocument/2006/relationships/hyperlink" Target="https://www.uptodate.com/contents/3302#H5" TargetMode="External"/><Relationship Id="rId34" Type="http://schemas.openxmlformats.org/officeDocument/2006/relationships/hyperlink" Target="https://www.uptodate.com/contents/3302#H7" TargetMode="External"/><Relationship Id="rId37" Type="http://schemas.openxmlformats.org/officeDocument/2006/relationships/hyperlink" Target="https://www.uptodate.com/contents/90145#H8398618" TargetMode="External"/><Relationship Id="rId36" Type="http://schemas.openxmlformats.org/officeDocument/2006/relationships/hyperlink" Target="https://www.uptodate.com/contents/90145#H8398612" TargetMode="External"/><Relationship Id="rId175" Type="http://schemas.openxmlformats.org/officeDocument/2006/relationships/hyperlink" Target="https://www.uptodate.com/contents/8595#F133590_P1" TargetMode="External"/><Relationship Id="rId39" Type="http://schemas.openxmlformats.org/officeDocument/2006/relationships/hyperlink" Target="https://www.uptodate.com/contents/2354#H12" TargetMode="External"/><Relationship Id="rId174" Type="http://schemas.openxmlformats.org/officeDocument/2006/relationships/hyperlink" Target="https://www.uptodate.com/contents/85642#F14642516" TargetMode="External"/><Relationship Id="rId38" Type="http://schemas.openxmlformats.org/officeDocument/2006/relationships/hyperlink" Target="https://www.uptodate.com/contents/90145#H8398624" TargetMode="External"/><Relationship Id="rId173" Type="http://schemas.openxmlformats.org/officeDocument/2006/relationships/hyperlink" Target="https://ai.uptodate.com/" TargetMode="External"/><Relationship Id="rId20" Type="http://schemas.openxmlformats.org/officeDocument/2006/relationships/hyperlink" Target="https://www.uptodate.com/contents/90145#H8398624" TargetMode="External"/><Relationship Id="rId22" Type="http://schemas.openxmlformats.org/officeDocument/2006/relationships/hyperlink" Target="https://www.uptodate.com/contents/3302#H7" TargetMode="External"/><Relationship Id="rId21" Type="http://schemas.openxmlformats.org/officeDocument/2006/relationships/hyperlink" Target="https://www.uptodate.com/contents/15261#H149209301" TargetMode="External"/><Relationship Id="rId24" Type="http://schemas.openxmlformats.org/officeDocument/2006/relationships/hyperlink" Target="https://www.uptodate.com/contents/3302#H7" TargetMode="External"/><Relationship Id="rId23" Type="http://schemas.openxmlformats.org/officeDocument/2006/relationships/hyperlink" Target="https://www.uptodate.com/contents/3302#H5" TargetMode="External"/><Relationship Id="rId129" Type="http://schemas.openxmlformats.org/officeDocument/2006/relationships/hyperlink" Target="https://ai.uptodate.com/" TargetMode="External"/><Relationship Id="rId128" Type="http://schemas.openxmlformats.org/officeDocument/2006/relationships/hyperlink" Target="https://www.uptodate.com/contents/1369#H1129213193" TargetMode="External"/><Relationship Id="rId127" Type="http://schemas.openxmlformats.org/officeDocument/2006/relationships/hyperlink" Target="https://www.uptodate.com/contents/1369#H1159819" TargetMode="External"/><Relationship Id="rId126" Type="http://schemas.openxmlformats.org/officeDocument/2006/relationships/hyperlink" Target="https://uptodate.com/contents/85642" TargetMode="External"/><Relationship Id="rId26" Type="http://schemas.openxmlformats.org/officeDocument/2006/relationships/hyperlink" Target="https://www.uptodate.com/contents/90145#H8398618" TargetMode="External"/><Relationship Id="rId121" Type="http://schemas.openxmlformats.org/officeDocument/2006/relationships/hyperlink" Target="https://uptodate.com/contents/85642" TargetMode="External"/><Relationship Id="rId25" Type="http://schemas.openxmlformats.org/officeDocument/2006/relationships/hyperlink" Target="https://www.uptodate.com/contents/90145#H8398612" TargetMode="External"/><Relationship Id="rId120" Type="http://schemas.openxmlformats.org/officeDocument/2006/relationships/hyperlink" Target="https://www.uptodate.com/contents/1369#H1129213193" TargetMode="External"/><Relationship Id="rId28" Type="http://schemas.openxmlformats.org/officeDocument/2006/relationships/hyperlink" Target="https://ai.uptodate.com/" TargetMode="External"/><Relationship Id="rId27" Type="http://schemas.openxmlformats.org/officeDocument/2006/relationships/hyperlink" Target="https://www.uptodate.com/contents/3302#H7" TargetMode="External"/><Relationship Id="rId125" Type="http://schemas.openxmlformats.org/officeDocument/2006/relationships/hyperlink" Target="https://www.uptodate.com/contents/1369#H2848281231" TargetMode="External"/><Relationship Id="rId29" Type="http://schemas.openxmlformats.org/officeDocument/2006/relationships/hyperlink" Target="https://ai.uptodate.com/" TargetMode="External"/><Relationship Id="rId124" Type="http://schemas.openxmlformats.org/officeDocument/2006/relationships/hyperlink" Target="https://www.uptodate.com/contents/1369#H2787915365" TargetMode="External"/><Relationship Id="rId123" Type="http://schemas.openxmlformats.org/officeDocument/2006/relationships/hyperlink" Target="https://www.uptodate.com/contents/1369#H25998098" TargetMode="External"/><Relationship Id="rId122" Type="http://schemas.openxmlformats.org/officeDocument/2006/relationships/hyperlink" Target="https://www.uptodate.com/contents/1369#H1129213193" TargetMode="External"/><Relationship Id="rId95" Type="http://schemas.openxmlformats.org/officeDocument/2006/relationships/hyperlink" Target="https://www.uptodate.com/contents/1369#H1159819" TargetMode="External"/><Relationship Id="rId94" Type="http://schemas.openxmlformats.org/officeDocument/2006/relationships/hyperlink" Target="https://www.uptodate.com/contents/1362#H528531598" TargetMode="External"/><Relationship Id="rId97" Type="http://schemas.openxmlformats.org/officeDocument/2006/relationships/hyperlink" Target="https://www.uptodate.com/contents/95395#H4279579412" TargetMode="External"/><Relationship Id="rId96" Type="http://schemas.openxmlformats.org/officeDocument/2006/relationships/hyperlink" Target="https://www.uptodate.com/contents/1369#H1129213193" TargetMode="External"/><Relationship Id="rId11" Type="http://schemas.openxmlformats.org/officeDocument/2006/relationships/hyperlink" Target="https://www.uptodate.com/contents/3302#H5" TargetMode="External"/><Relationship Id="rId99" Type="http://schemas.openxmlformats.org/officeDocument/2006/relationships/hyperlink" Target="https://www.uptodate.com/contents/1369#H1159819" TargetMode="External"/><Relationship Id="rId10" Type="http://schemas.openxmlformats.org/officeDocument/2006/relationships/hyperlink" Target="https://www.uptodate.com/contents/3302#H5" TargetMode="External"/><Relationship Id="rId98" Type="http://schemas.openxmlformats.org/officeDocument/2006/relationships/hyperlink" Target="https://uptodate.com/contents/85642" TargetMode="External"/><Relationship Id="rId13" Type="http://schemas.openxmlformats.org/officeDocument/2006/relationships/hyperlink" Target="https://www.uptodate.com/contents/3302#H5" TargetMode="External"/><Relationship Id="rId12" Type="http://schemas.openxmlformats.org/officeDocument/2006/relationships/hyperlink" Target="https://www.uptodate.com/contents/3302#H5" TargetMode="External"/><Relationship Id="rId91" Type="http://schemas.openxmlformats.org/officeDocument/2006/relationships/hyperlink" Target="https://www.uptodate.com/contents/1369#H2787915365" TargetMode="External"/><Relationship Id="rId90" Type="http://schemas.openxmlformats.org/officeDocument/2006/relationships/hyperlink" Target="https://www.uptodate.com/contents/1362#H528531598" TargetMode="External"/><Relationship Id="rId93" Type="http://schemas.openxmlformats.org/officeDocument/2006/relationships/hyperlink" Target="https://uptodate.com/contents/85642" TargetMode="External"/><Relationship Id="rId92" Type="http://schemas.openxmlformats.org/officeDocument/2006/relationships/hyperlink" Target="https://www.uptodate.com/contents/1369#H45" TargetMode="External"/><Relationship Id="rId118" Type="http://schemas.openxmlformats.org/officeDocument/2006/relationships/hyperlink" Target="https://www.uptodate.com/contents/1362#H528531598" TargetMode="External"/><Relationship Id="rId117" Type="http://schemas.openxmlformats.org/officeDocument/2006/relationships/hyperlink" Target="https://uptodate.com/contents/85642" TargetMode="External"/><Relationship Id="rId116" Type="http://schemas.openxmlformats.org/officeDocument/2006/relationships/hyperlink" Target="https://www.uptodate.com/contents/1369#H1159819" TargetMode="External"/><Relationship Id="rId115" Type="http://schemas.openxmlformats.org/officeDocument/2006/relationships/hyperlink" Target="https://www.uptodate.com/contents/1369#H25998098" TargetMode="External"/><Relationship Id="rId119" Type="http://schemas.openxmlformats.org/officeDocument/2006/relationships/hyperlink" Target="https://www.uptodate.com/contents/1369#H1159819" TargetMode="External"/><Relationship Id="rId15" Type="http://schemas.openxmlformats.org/officeDocument/2006/relationships/hyperlink" Target="https://www.uptodate.com/contents/3302#H7" TargetMode="External"/><Relationship Id="rId110" Type="http://schemas.openxmlformats.org/officeDocument/2006/relationships/hyperlink" Target="https://www.uptodate.com/contents/1369#H1129213193" TargetMode="External"/><Relationship Id="rId14" Type="http://schemas.openxmlformats.org/officeDocument/2006/relationships/hyperlink" Target="https://www.uptodate.com/contents/3302#H7" TargetMode="External"/><Relationship Id="rId17" Type="http://schemas.openxmlformats.org/officeDocument/2006/relationships/hyperlink" Target="https://www.uptodate.com/contents/90145#H8398612" TargetMode="External"/><Relationship Id="rId16" Type="http://schemas.openxmlformats.org/officeDocument/2006/relationships/hyperlink" Target="https://www.uptodate.com/contents/90145#H8398612" TargetMode="External"/><Relationship Id="rId19" Type="http://schemas.openxmlformats.org/officeDocument/2006/relationships/hyperlink" Target="https://www.uptodate.com/contents/90145#H8398624" TargetMode="External"/><Relationship Id="rId114" Type="http://schemas.openxmlformats.org/officeDocument/2006/relationships/hyperlink" Target="https://www.uptodate.com/contents/1369#H2848281231" TargetMode="External"/><Relationship Id="rId18" Type="http://schemas.openxmlformats.org/officeDocument/2006/relationships/hyperlink" Target="https://www.uptodate.com/contents/90145#H8398618" TargetMode="External"/><Relationship Id="rId113" Type="http://schemas.openxmlformats.org/officeDocument/2006/relationships/hyperlink" Target="https://www.uptodate.com/contents/1369#H2787915365" TargetMode="External"/><Relationship Id="rId112" Type="http://schemas.openxmlformats.org/officeDocument/2006/relationships/hyperlink" Target="https://www.uptodate.com/contents/1369#H1129213193" TargetMode="External"/><Relationship Id="rId111" Type="http://schemas.openxmlformats.org/officeDocument/2006/relationships/hyperlink" Target="https://uptodate.com/contents/85642" TargetMode="External"/><Relationship Id="rId84" Type="http://schemas.openxmlformats.org/officeDocument/2006/relationships/hyperlink" Target="https://uptodate.com/contents/85642" TargetMode="External"/><Relationship Id="rId83" Type="http://schemas.openxmlformats.org/officeDocument/2006/relationships/hyperlink" Target="https://www.uptodate.com/contents/2354#H3488890347" TargetMode="External"/><Relationship Id="rId86" Type="http://schemas.openxmlformats.org/officeDocument/2006/relationships/hyperlink" Target="https://www.uptodate.com/contents/1362#H528531598" TargetMode="External"/><Relationship Id="rId85" Type="http://schemas.openxmlformats.org/officeDocument/2006/relationships/hyperlink" Target="https://uptodate.com/contents/85642" TargetMode="External"/><Relationship Id="rId88" Type="http://schemas.openxmlformats.org/officeDocument/2006/relationships/hyperlink" Target="https://www.uptodate.com/contents/1369#H25998098" TargetMode="External"/><Relationship Id="rId150" Type="http://schemas.openxmlformats.org/officeDocument/2006/relationships/hyperlink" Target="https://www.uptodate.com/contents/85642#F14642516" TargetMode="External"/><Relationship Id="rId87" Type="http://schemas.openxmlformats.org/officeDocument/2006/relationships/hyperlink" Target="https://www.uptodate.com/contents/1362#H528531598" TargetMode="External"/><Relationship Id="rId89" Type="http://schemas.openxmlformats.org/officeDocument/2006/relationships/hyperlink" Target="https://www.uptodate.com/contents/1362#H528531598" TargetMode="External"/><Relationship Id="rId80" Type="http://schemas.openxmlformats.org/officeDocument/2006/relationships/hyperlink" Target="https://www.uptodate.com/contents/2374#H3365541977" TargetMode="External"/><Relationship Id="rId82" Type="http://schemas.openxmlformats.org/officeDocument/2006/relationships/hyperlink" Target="https://www.uptodate.com/contents/2354#H1132962286" TargetMode="External"/><Relationship Id="rId81" Type="http://schemas.openxmlformats.org/officeDocument/2006/relationships/hyperlink" Target="https://www.uptodate.com/contents/2354#H16616800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85642" TargetMode="External"/><Relationship Id="rId4" Type="http://schemas.openxmlformats.org/officeDocument/2006/relationships/numbering" Target="numbering.xml"/><Relationship Id="rId148" Type="http://schemas.openxmlformats.org/officeDocument/2006/relationships/hyperlink" Target="https://uptodate.com/contents/85642" TargetMode="External"/><Relationship Id="rId9" Type="http://schemas.openxmlformats.org/officeDocument/2006/relationships/hyperlink" Target="https://www.uptodate.com/contents/3302#H7" TargetMode="External"/><Relationship Id="rId143" Type="http://schemas.openxmlformats.org/officeDocument/2006/relationships/hyperlink" Target="https://uptodate.com/contents/8595" TargetMode="External"/><Relationship Id="rId142" Type="http://schemas.openxmlformats.org/officeDocument/2006/relationships/hyperlink" Target="https://www.uptodate.com/contents/1369#H2848281231" TargetMode="External"/><Relationship Id="rId141" Type="http://schemas.openxmlformats.org/officeDocument/2006/relationships/hyperlink" Target="https://www.uptodate.com/contents/95395#H4279579412" TargetMode="External"/><Relationship Id="rId140" Type="http://schemas.openxmlformats.org/officeDocument/2006/relationships/hyperlink" Target="https://www.uptodate.com/contents/1369#H1129213193" TargetMode="External"/><Relationship Id="rId5" Type="http://schemas.openxmlformats.org/officeDocument/2006/relationships/styles" Target="styles.xml"/><Relationship Id="rId147" Type="http://schemas.openxmlformats.org/officeDocument/2006/relationships/hyperlink" Target="https://uptodate.com/contents/8595" TargetMode="External"/><Relationship Id="rId6" Type="http://schemas.openxmlformats.org/officeDocument/2006/relationships/hyperlink" Target="https://www.uptodate.com/contents/15261#H149209301" TargetMode="External"/><Relationship Id="rId146" Type="http://schemas.openxmlformats.org/officeDocument/2006/relationships/hyperlink" Target="https://uptodate.com/contents/85642" TargetMode="External"/><Relationship Id="rId7" Type="http://schemas.openxmlformats.org/officeDocument/2006/relationships/hyperlink" Target="https://www.uptodate.com/contents/15261#H149209301" TargetMode="External"/><Relationship Id="rId145" Type="http://schemas.openxmlformats.org/officeDocument/2006/relationships/hyperlink" Target="https://uptodate.com/contents/85642" TargetMode="External"/><Relationship Id="rId8" Type="http://schemas.openxmlformats.org/officeDocument/2006/relationships/hyperlink" Target="https://www.uptodate.com/contents/3302#H7" TargetMode="External"/><Relationship Id="rId144" Type="http://schemas.openxmlformats.org/officeDocument/2006/relationships/hyperlink" Target="https://uptodate.com/contents/8595"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ai.uptodate.com/" TargetMode="External"/><Relationship Id="rId74" Type="http://schemas.openxmlformats.org/officeDocument/2006/relationships/hyperlink" Target="https://ai.uptodate.com/" TargetMode="External"/><Relationship Id="rId77" Type="http://schemas.openxmlformats.org/officeDocument/2006/relationships/hyperlink" Target="https://www.uptodate.com/contents/2354#H12" TargetMode="External"/><Relationship Id="rId76" Type="http://schemas.openxmlformats.org/officeDocument/2006/relationships/hyperlink" Target="https://ai.uptodate.com/" TargetMode="External"/><Relationship Id="rId79" Type="http://schemas.openxmlformats.org/officeDocument/2006/relationships/hyperlink" Target="https://www.uptodate.com/contents/7173#H2500455613" TargetMode="External"/><Relationship Id="rId78" Type="http://schemas.openxmlformats.org/officeDocument/2006/relationships/hyperlink" Target="https://www.uptodate.com/contents/2287#H13" TargetMode="External"/><Relationship Id="rId71" Type="http://schemas.openxmlformats.org/officeDocument/2006/relationships/hyperlink" Target="https://www.uptodate.com/contents/2354#H3488890347" TargetMode="External"/><Relationship Id="rId70" Type="http://schemas.openxmlformats.org/officeDocument/2006/relationships/hyperlink" Target="https://www.uptodate.com/contents/2354#H1132962286" TargetMode="External"/><Relationship Id="rId139" Type="http://schemas.openxmlformats.org/officeDocument/2006/relationships/hyperlink" Target="https://www.uptodate.com/contents/1369#H1159819" TargetMode="External"/><Relationship Id="rId138" Type="http://schemas.openxmlformats.org/officeDocument/2006/relationships/hyperlink" Target="https://www.uptodate.com/contents/1369#H45" TargetMode="External"/><Relationship Id="rId137" Type="http://schemas.openxmlformats.org/officeDocument/2006/relationships/hyperlink" Target="https://www.uptodate.com/contents/1369#H2787915365"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1369#H25998098" TargetMode="External"/><Relationship Id="rId135" Type="http://schemas.openxmlformats.org/officeDocument/2006/relationships/hyperlink" Target="https://www.uptodate.com/contents/1362#H528531598" TargetMode="External"/><Relationship Id="rId134" Type="http://schemas.openxmlformats.org/officeDocument/2006/relationships/hyperlink" Target="https://ai.uptodate.com/" TargetMode="External"/><Relationship Id="rId133" Type="http://schemas.openxmlformats.org/officeDocument/2006/relationships/hyperlink" Target="https://ai.uptodate.com/" TargetMode="External"/><Relationship Id="rId62" Type="http://schemas.openxmlformats.org/officeDocument/2006/relationships/hyperlink" Target="https://www.uptodate.com/contents/2354#H1661680068" TargetMode="External"/><Relationship Id="rId61" Type="http://schemas.openxmlformats.org/officeDocument/2006/relationships/hyperlink" Target="https://www.uptodate.com/contents/2374#H3365541977" TargetMode="External"/><Relationship Id="rId64" Type="http://schemas.openxmlformats.org/officeDocument/2006/relationships/hyperlink" Target="https://www.uptodate.com/contents/2354#H1661680068" TargetMode="External"/><Relationship Id="rId63" Type="http://schemas.openxmlformats.org/officeDocument/2006/relationships/hyperlink" Target="https://www.uptodate.com/contents/2354#H12" TargetMode="External"/><Relationship Id="rId66" Type="http://schemas.openxmlformats.org/officeDocument/2006/relationships/hyperlink" Target="https://www.uptodate.com/contents/2374#H3365541977" TargetMode="External"/><Relationship Id="rId172" Type="http://schemas.openxmlformats.org/officeDocument/2006/relationships/hyperlink" Target="https://ai.uptodate.com/" TargetMode="External"/><Relationship Id="rId65" Type="http://schemas.openxmlformats.org/officeDocument/2006/relationships/hyperlink" Target="https://www.uptodate.com/contents/7173#H2500455613" TargetMode="External"/><Relationship Id="rId171" Type="http://schemas.openxmlformats.org/officeDocument/2006/relationships/hyperlink" Target="https://ai.uptodate.com/" TargetMode="External"/><Relationship Id="rId68" Type="http://schemas.openxmlformats.org/officeDocument/2006/relationships/hyperlink" Target="https://www.uptodate.com/contents/image?imageKey=101823&amp;source=expert-ai&amp;graphic-type=algorithm"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2354#H1661680068" TargetMode="External"/><Relationship Id="rId60" Type="http://schemas.openxmlformats.org/officeDocument/2006/relationships/hyperlink" Target="https://www.uptodate.com/contents/7173#H2500455613" TargetMode="External"/><Relationship Id="rId165" Type="http://schemas.openxmlformats.org/officeDocument/2006/relationships/hyperlink" Target="https://www.uptodate.com/contents/8595#F133590" TargetMode="External"/><Relationship Id="rId69" Type="http://schemas.openxmlformats.org/officeDocument/2006/relationships/hyperlink" Target="https://www.uptodate.com/contents/2354#H12" TargetMode="External"/><Relationship Id="rId164" Type="http://schemas.openxmlformats.org/officeDocument/2006/relationships/hyperlink" Target="https://www.uptodate.com/contents/85642#F14642516" TargetMode="External"/><Relationship Id="rId163" Type="http://schemas.openxmlformats.org/officeDocument/2006/relationships/hyperlink" Target="https://uptodate.com/contents/85642" TargetMode="External"/><Relationship Id="rId162" Type="http://schemas.openxmlformats.org/officeDocument/2006/relationships/hyperlink" Target="https://uptodate.com/contents/8595"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www.uptodate.com/contents/85642#F14642516" TargetMode="External"/><Relationship Id="rId166" Type="http://schemas.openxmlformats.org/officeDocument/2006/relationships/hyperlink" Target="https://www.uptodate.com/contents/85642#F14642516" TargetMode="External"/><Relationship Id="rId51" Type="http://schemas.openxmlformats.org/officeDocument/2006/relationships/hyperlink" Target="https://www.uptodate.com/contents/2354#H1661680068" TargetMode="External"/><Relationship Id="rId50" Type="http://schemas.openxmlformats.org/officeDocument/2006/relationships/hyperlink" Target="https://www.uptodate.com/contents/2354#H1661680068" TargetMode="External"/><Relationship Id="rId53" Type="http://schemas.openxmlformats.org/officeDocument/2006/relationships/hyperlink" Target="https://www.uptodate.com/contents/2354#H1661680068" TargetMode="External"/><Relationship Id="rId52" Type="http://schemas.openxmlformats.org/officeDocument/2006/relationships/hyperlink" Target="https://www.uptodate.com/contents/2354#H1661680068" TargetMode="External"/><Relationship Id="rId55" Type="http://schemas.openxmlformats.org/officeDocument/2006/relationships/hyperlink" Target="https://www.uptodate.com/contents/image?imageKey=101823&amp;source=expert-ai&amp;graphic-type=algorithm" TargetMode="External"/><Relationship Id="rId161" Type="http://schemas.openxmlformats.org/officeDocument/2006/relationships/hyperlink" Target="https://www.uptodate.com/contents/8595#F133590" TargetMode="External"/><Relationship Id="rId54" Type="http://schemas.openxmlformats.org/officeDocument/2006/relationships/hyperlink" Target="https://www.uptodate.com/contents/image?imageKey=101823&amp;source=expert-ai&amp;graphic-type=algorithm" TargetMode="External"/><Relationship Id="rId160" Type="http://schemas.openxmlformats.org/officeDocument/2006/relationships/hyperlink" Target="https://www.uptodate.com/contents/85642#F14642516" TargetMode="External"/><Relationship Id="rId57" Type="http://schemas.openxmlformats.org/officeDocument/2006/relationships/hyperlink" Target="https://www.uptodate.com/contents/2354#H12" TargetMode="External"/><Relationship Id="rId56" Type="http://schemas.openxmlformats.org/officeDocument/2006/relationships/hyperlink" Target="https://www.uptodate.com/contents/2354#H12" TargetMode="External"/><Relationship Id="rId159" Type="http://schemas.openxmlformats.org/officeDocument/2006/relationships/hyperlink" Target="https://www.uptodate.com/contents/85642#F14642516" TargetMode="External"/><Relationship Id="rId59" Type="http://schemas.openxmlformats.org/officeDocument/2006/relationships/hyperlink" Target="https://www.uptodate.com/contents/2354#H3488890347" TargetMode="External"/><Relationship Id="rId154" Type="http://schemas.openxmlformats.org/officeDocument/2006/relationships/hyperlink" Target="https://www.uptodate.com/contents/85642#F14642516" TargetMode="External"/><Relationship Id="rId58" Type="http://schemas.openxmlformats.org/officeDocument/2006/relationships/hyperlink" Target="https://www.uptodate.com/contents/2354#H1132962286" TargetMode="External"/><Relationship Id="rId153" Type="http://schemas.openxmlformats.org/officeDocument/2006/relationships/hyperlink" Target="https://www.uptodate.com/contents/85642#F14642516" TargetMode="External"/><Relationship Id="rId152" Type="http://schemas.openxmlformats.org/officeDocument/2006/relationships/hyperlink" Target="https://www.uptodate.com/contents/8595#F133590" TargetMode="External"/><Relationship Id="rId151" Type="http://schemas.openxmlformats.org/officeDocument/2006/relationships/hyperlink" Target="https://www.uptodate.com/contents/85642#F14642516" TargetMode="External"/><Relationship Id="rId158" Type="http://schemas.openxmlformats.org/officeDocument/2006/relationships/hyperlink" Target="https://uptodate.com/contents/85642" TargetMode="External"/><Relationship Id="rId157" Type="http://schemas.openxmlformats.org/officeDocument/2006/relationships/hyperlink" Target="https://uptodate.com/contents/85642" TargetMode="External"/><Relationship Id="rId156" Type="http://schemas.openxmlformats.org/officeDocument/2006/relationships/hyperlink" Target="https://uptodate.com/contents/8595" TargetMode="External"/><Relationship Id="rId155" Type="http://schemas.openxmlformats.org/officeDocument/2006/relationships/hyperlink" Target="https://uptodate.com/contents/85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