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5whiw6mb3m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57</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about the safety and appropriateness of</w:t>
      </w:r>
      <w:hyperlink r:id="rId6">
        <w:r w:rsidDel="00000000" w:rsidR="00000000" w:rsidRPr="00000000">
          <w:rPr>
            <w:color w:val="232323"/>
            <w:sz w:val="24"/>
            <w:szCs w:val="24"/>
            <w:rtl w:val="0"/>
          </w:rPr>
          <w:t xml:space="preserve"> </w:t>
        </w:r>
      </w:hyperlink>
      <w:hyperlink r:id="rId7">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(Celebrex) for fibromyalgia pain in a patient with prediabetes and reduced glomerular filtration rate (GFR). I am assuming the patient is an adult, not pregnant or breastfeeding, and that "prediabetes" refers to impaired glucose tolerance without established diabetes. No information is provided about the specific GFR value, but the question implies some degree of kidney impairment.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For most patients with fibromyalgia, nonpharmacologic interventions and targeted pharmacotherapy are preferred.</w:t>
      </w:r>
      <w:hyperlink r:id="rId8">
        <w:r w:rsidDel="00000000" w:rsidR="00000000" w:rsidRPr="00000000">
          <w:rPr>
            <w:color w:val="232323"/>
            <w:sz w:val="24"/>
            <w:szCs w:val="24"/>
            <w:rtl w:val="0"/>
          </w:rPr>
          <w:t xml:space="preserve"> </w:t>
        </w:r>
      </w:hyperlink>
      <w:hyperlink r:id="rId9">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and other NSAIDs are generally not recommended for fibromyalgia pain unless there is evidence of peripheral pain (eg, osteoarthritis)</w:t>
      </w:r>
      <w:hyperlink r:id="rId10">
        <w:r w:rsidDel="00000000" w:rsidR="00000000" w:rsidRPr="00000000">
          <w:rPr>
            <w:color w:val="232323"/>
            <w:sz w:val="24"/>
            <w:szCs w:val="24"/>
            <w:rtl w:val="0"/>
          </w:rPr>
          <w:t xml:space="preserve"> </w:t>
        </w:r>
      </w:hyperlink>
      <w:hyperlink r:id="rId11">
        <w:r w:rsidDel="00000000" w:rsidR="00000000" w:rsidRPr="00000000">
          <w:rPr>
            <w:color w:val="1155cc"/>
            <w:sz w:val="24"/>
            <w:szCs w:val="24"/>
            <w:rtl w:val="0"/>
          </w:rPr>
          <w:t xml:space="preserve">[1]</w:t>
        </w:r>
      </w:hyperlink>
      <w:hyperlink r:id="rId12">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 If considering</w:t>
      </w:r>
      <w:hyperlink r:id="rId13">
        <w:r w:rsidDel="00000000" w:rsidR="00000000" w:rsidRPr="00000000">
          <w:rPr>
            <w:color w:val="232323"/>
            <w:sz w:val="24"/>
            <w:szCs w:val="24"/>
            <w:rtl w:val="0"/>
          </w:rPr>
          <w:t xml:space="preserve"> </w:t>
        </w:r>
      </w:hyperlink>
      <w:hyperlink r:id="rId14">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for pain management, use caution in patients with kidney impairment and prediabetes, and review alternatives for fibromyalgia pain.</w:t>
      </w:r>
    </w:p>
    <w:p w:rsidR="00000000" w:rsidDel="00000000" w:rsidP="00000000" w:rsidRDefault="00000000" w:rsidRPr="00000000" w14:paraId="00000005">
      <w:pPr>
        <w:pStyle w:val="Heading3"/>
        <w:keepNext w:val="0"/>
        <w:keepLines w:val="0"/>
        <w:spacing w:after="40" w:before="460" w:line="346.66666666666663" w:lineRule="auto"/>
        <w:rPr>
          <w:b w:val="1"/>
          <w:bCs w:val="1"/>
          <w:color w:val="232323"/>
          <w:sz w:val="27"/>
          <w:szCs w:val="27"/>
        </w:rPr>
      </w:pPr>
      <w:bookmarkStart w:colFirst="0" w:colLast="0" w:name="_493yuqlk41q2" w:id="1"/>
      <w:bookmarkEnd w:id="1"/>
      <w:r w:rsidDel="00000000" w:rsidR="00000000" w:rsidRPr="00000000">
        <w:rPr>
          <w:b w:val="1"/>
          <w:bCs w:val="1"/>
          <w:color w:val="232323"/>
          <w:sz w:val="27"/>
          <w:szCs w:val="27"/>
          <w:rtl w:val="0"/>
        </w:rPr>
        <w:t xml:space="preserve">Safety of Celecoxib in Kidney Impairment</w:t>
      </w:r>
    </w:p>
    <w:p w:rsidR="00000000" w:rsidDel="00000000" w:rsidP="00000000" w:rsidRDefault="00000000" w:rsidRPr="00000000" w14:paraId="00000006">
      <w:pPr>
        <w:numPr>
          <w:ilvl w:val="0"/>
          <w:numId w:val="10"/>
        </w:numP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For patients with a GFR ≥30 mL/minute, </w:t>
      </w:r>
      <w:hyperlink r:id="rId15">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may be used with caution, at the lowest effective dose and shortest duration possible, but alternatives are preferred, especially in those at high risk for acute kidney injury (eg, volume depleted, hypotensive, elderly, or taking nephrotoxic medications) </w:t>
      </w:r>
      <w:hyperlink r:id="rId16">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0"/>
        </w:numP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For patients with a GFR ≤30 mL/minute, </w:t>
      </w:r>
      <w:hyperlink r:id="rId17">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should generally be avoided due to increased risk of acute kidney injury; alternatives to NSAIDs are preferred </w:t>
      </w:r>
      <w:hyperlink r:id="rId1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0"/>
        </w:numPr>
        <w:spacing w:after="240" w:before="0" w:beforeAutospacing="0" w:line="390" w:lineRule="auto"/>
        <w:ind w:left="720" w:hanging="360"/>
        <w:rPr>
          <w:sz w:val="24"/>
          <w:szCs w:val="24"/>
        </w:rPr>
      </w:pPr>
      <w:r w:rsidDel="00000000" w:rsidR="00000000" w:rsidRPr="00000000">
        <w:rPr>
          <w:color w:val="232323"/>
          <w:sz w:val="24"/>
          <w:szCs w:val="24"/>
          <w:rtl w:val="0"/>
        </w:rPr>
        <w:t xml:space="preserve">If </w:t>
      </w:r>
      <w:hyperlink r:id="rId19">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is used in select patients with advanced kidney disease, close monitoring of kidney function is required </w:t>
      </w:r>
      <w:hyperlink r:id="rId2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pStyle w:val="Heading3"/>
        <w:keepNext w:val="0"/>
        <w:keepLines w:val="0"/>
        <w:spacing w:after="40" w:before="460" w:line="346.66666666666663" w:lineRule="auto"/>
        <w:rPr>
          <w:b w:val="1"/>
          <w:bCs w:val="1"/>
          <w:color w:val="232323"/>
          <w:sz w:val="27"/>
          <w:szCs w:val="27"/>
        </w:rPr>
      </w:pPr>
      <w:bookmarkStart w:colFirst="0" w:colLast="0" w:name="_3e2u8hls2ph" w:id="2"/>
      <w:bookmarkEnd w:id="2"/>
      <w:r w:rsidDel="00000000" w:rsidR="00000000" w:rsidRPr="00000000">
        <w:rPr>
          <w:b w:val="1"/>
          <w:bCs w:val="1"/>
          <w:color w:val="232323"/>
          <w:sz w:val="27"/>
          <w:szCs w:val="27"/>
          <w:rtl w:val="0"/>
        </w:rPr>
        <w:t xml:space="preserve">Safety of Celecoxib in Prediabetes</w:t>
      </w:r>
    </w:p>
    <w:p w:rsidR="00000000" w:rsidDel="00000000" w:rsidP="00000000" w:rsidRDefault="00000000" w:rsidRPr="00000000" w14:paraId="0000000A">
      <w:pPr>
        <w:numPr>
          <w:ilvl w:val="0"/>
          <w:numId w:val="13"/>
        </w:numPr>
        <w:spacing w:after="0" w:afterAutospacing="0" w:before="220" w:line="390" w:lineRule="auto"/>
        <w:ind w:left="720" w:hanging="360"/>
        <w:rPr>
          <w:sz w:val="24"/>
          <w:szCs w:val="24"/>
        </w:rPr>
      </w:pPr>
      <w:hyperlink r:id="rId21">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may cause fluid retention and exacerbate hypertension, which can be relevant in patients with prediabetes due to increased cardiovascular risk </w:t>
      </w:r>
      <w:hyperlink r:id="rId22">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1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NSAIDs, including </w:t>
      </w:r>
      <w:hyperlink r:id="rId23">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are associated with increased risk of serious cardiovascular events (eg, myocardial infarction, stroke), especially in patients with preexisting cardiovascular disease or risk factors </w:t>
      </w:r>
      <w:hyperlink r:id="rId24">
        <w:r w:rsidDel="00000000" w:rsidR="00000000" w:rsidRPr="00000000">
          <w:rPr>
            <w:color w:val="1155cc"/>
            <w:sz w:val="24"/>
            <w:szCs w:val="24"/>
            <w:rtl w:val="0"/>
          </w:rPr>
          <w:t xml:space="preserve">[4]</w:t>
        </w:r>
      </w:hyperlink>
      <w:hyperlink r:id="rId25">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3"/>
        </w:numPr>
        <w:spacing w:after="240" w:before="0" w:beforeAutospacing="0" w:line="390" w:lineRule="auto"/>
        <w:ind w:left="720" w:hanging="360"/>
        <w:rPr>
          <w:sz w:val="24"/>
          <w:szCs w:val="24"/>
        </w:rPr>
      </w:pPr>
      <w:r w:rsidDel="00000000" w:rsidR="00000000" w:rsidRPr="00000000">
        <w:rPr>
          <w:color w:val="232323"/>
          <w:sz w:val="24"/>
          <w:szCs w:val="24"/>
          <w:rtl w:val="0"/>
        </w:rPr>
        <w:t xml:space="preserve">Use the lowest effective dose for the shortest duration possible </w:t>
      </w:r>
      <w:hyperlink r:id="rId26">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D">
      <w:pPr>
        <w:pStyle w:val="Heading3"/>
        <w:keepNext w:val="0"/>
        <w:keepLines w:val="0"/>
        <w:spacing w:after="40" w:before="460" w:line="346.66666666666663" w:lineRule="auto"/>
        <w:rPr>
          <w:b w:val="1"/>
          <w:bCs w:val="1"/>
          <w:color w:val="232323"/>
          <w:sz w:val="27"/>
          <w:szCs w:val="27"/>
        </w:rPr>
      </w:pPr>
      <w:bookmarkStart w:colFirst="0" w:colLast="0" w:name="_nwsul848gu7v" w:id="3"/>
      <w:bookmarkEnd w:id="3"/>
      <w:r w:rsidDel="00000000" w:rsidR="00000000" w:rsidRPr="00000000">
        <w:rPr>
          <w:b w:val="1"/>
          <w:bCs w:val="1"/>
          <w:color w:val="232323"/>
          <w:sz w:val="27"/>
          <w:szCs w:val="27"/>
          <w:rtl w:val="0"/>
        </w:rPr>
        <w:t xml:space="preserve">Role of Celecoxib in Fibromyalgia Pain</w:t>
      </w:r>
    </w:p>
    <w:p w:rsidR="00000000" w:rsidDel="00000000" w:rsidP="00000000" w:rsidRDefault="00000000" w:rsidRPr="00000000" w14:paraId="0000000E">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NSAIDs, including </w:t>
      </w:r>
      <w:hyperlink r:id="rId27">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are not recommended for fibromyalgia pain unless there is evidence of peripheral pain (eg, osteoarthritis, regional musculoskeletal pain) </w:t>
      </w:r>
      <w:hyperlink r:id="rId28">
        <w:r w:rsidDel="00000000" w:rsidR="00000000" w:rsidRPr="00000000">
          <w:rPr>
            <w:color w:val="1155cc"/>
            <w:sz w:val="24"/>
            <w:szCs w:val="24"/>
            <w:rtl w:val="0"/>
          </w:rPr>
          <w:t xml:space="preserve">[1]</w:t>
        </w:r>
      </w:hyperlink>
      <w:hyperlink r:id="rId29">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Several small randomized trials have failed to show that NSAIDs are effective for fibromyalgia pain; therapeutic doses of naproxen and ibuprofen were no better than placebo </w:t>
      </w:r>
      <w:hyperlink r:id="rId30">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2"/>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Preferred pharmacologic treatments for fibromyalgia include tricyclic antidepressants (eg, amitriptyline), serotonin-norepinephrine reuptake inhibitors (eg, duloxetine), and alpha-2 ligands (eg, pregabalin, gabapentin), tailored to the patient's symptoms and comorbidities </w:t>
      </w:r>
      <w:hyperlink r:id="rId31">
        <w:r w:rsidDel="00000000" w:rsidR="00000000" w:rsidRPr="00000000">
          <w:rPr>
            <w:color w:val="1155cc"/>
            <w:sz w:val="24"/>
            <w:szCs w:val="24"/>
            <w:rtl w:val="0"/>
          </w:rPr>
          <w:t xml:space="preserve">[7]</w:t>
        </w:r>
      </w:hyperlink>
      <w:hyperlink r:id="rId32">
        <w:r w:rsidDel="00000000" w:rsidR="00000000" w:rsidRPr="00000000">
          <w:rPr>
            <w:color w:val="1155cc"/>
            <w:sz w:val="24"/>
            <w:szCs w:val="24"/>
            <w:rtl w:val="0"/>
          </w:rPr>
          <w:t xml:space="preserve">[8]</w:t>
        </w:r>
      </w:hyperlink>
      <w:hyperlink r:id="rId33">
        <w:r w:rsidDel="00000000" w:rsidR="00000000" w:rsidRPr="00000000">
          <w:rPr>
            <w:color w:val="1155cc"/>
            <w:sz w:val="24"/>
            <w:szCs w:val="24"/>
            <w:rtl w:val="0"/>
          </w:rPr>
          <w:t xml:space="preserve">[9]</w:t>
        </w:r>
      </w:hyperlink>
      <w:hyperlink r:id="rId34">
        <w:r w:rsidDel="00000000" w:rsidR="00000000" w:rsidRPr="00000000">
          <w:rPr>
            <w:color w:val="1155cc"/>
            <w:sz w:val="24"/>
            <w:szCs w:val="24"/>
            <w:rtl w:val="0"/>
          </w:rPr>
          <w:t xml:space="preserve">[10]</w:t>
        </w:r>
      </w:hyperlink>
      <w:hyperlink r:id="rId35">
        <w:r w:rsidDel="00000000" w:rsidR="00000000" w:rsidRPr="00000000">
          <w:rPr>
            <w:color w:val="1155cc"/>
            <w:sz w:val="24"/>
            <w:szCs w:val="24"/>
            <w:rtl w:val="0"/>
          </w:rPr>
          <w:t xml:space="preserve">[11]</w:t>
        </w:r>
      </w:hyperlink>
      <w:hyperlink r:id="rId36">
        <w:r w:rsidDel="00000000" w:rsidR="00000000" w:rsidRPr="00000000">
          <w:rPr>
            <w:color w:val="1155cc"/>
            <w:sz w:val="24"/>
            <w:szCs w:val="24"/>
            <w:rtl w:val="0"/>
          </w:rPr>
          <w:t xml:space="preserve">[12]</w:t>
        </w:r>
      </w:hyperlink>
      <w:hyperlink r:id="rId37">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11">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Nonpharmacologic interventions (eg, patient education, cognitive therapy, exercise) are core components of fibromyalgia management </w:t>
      </w:r>
      <w:hyperlink r:id="rId38">
        <w:r w:rsidDel="00000000" w:rsidR="00000000" w:rsidRPr="00000000">
          <w:rPr>
            <w:color w:val="1155cc"/>
            <w:sz w:val="24"/>
            <w:szCs w:val="24"/>
            <w:rtl w:val="0"/>
          </w:rPr>
          <w:t xml:space="preserve">[13]</w:t>
        </w:r>
      </w:hyperlink>
      <w:hyperlink r:id="rId39">
        <w:r w:rsidDel="00000000" w:rsidR="00000000" w:rsidRPr="00000000">
          <w:rPr>
            <w:color w:val="1155cc"/>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2">
      <w:pPr>
        <w:pStyle w:val="Heading3"/>
        <w:keepNext w:val="0"/>
        <w:keepLines w:val="0"/>
        <w:spacing w:after="40" w:before="460" w:line="346.66666666666663" w:lineRule="auto"/>
        <w:rPr>
          <w:b w:val="1"/>
          <w:bCs w:val="1"/>
          <w:color w:val="232323"/>
          <w:sz w:val="27"/>
          <w:szCs w:val="27"/>
        </w:rPr>
      </w:pPr>
      <w:bookmarkStart w:colFirst="0" w:colLast="0" w:name="_2zdspove5xqv" w:id="4"/>
      <w:bookmarkEnd w:id="4"/>
      <w:r w:rsidDel="00000000" w:rsidR="00000000" w:rsidRPr="00000000">
        <w:rPr>
          <w:b w:val="1"/>
          <w:bCs w:val="1"/>
          <w:color w:val="232323"/>
          <w:sz w:val="27"/>
          <w:szCs w:val="27"/>
          <w:rtl w:val="0"/>
        </w:rPr>
        <w:t xml:space="preserve">Monitoring and Adverse Effects</w:t>
      </w:r>
    </w:p>
    <w:p w:rsidR="00000000" w:rsidDel="00000000" w:rsidP="00000000" w:rsidRDefault="00000000" w:rsidRPr="00000000" w14:paraId="00000013">
      <w:pPr>
        <w:numPr>
          <w:ilvl w:val="0"/>
          <w:numId w:val="18"/>
        </w:numPr>
        <w:spacing w:after="0" w:afterAutospacing="0" w:before="220" w:line="390" w:lineRule="auto"/>
        <w:ind w:left="720" w:hanging="360"/>
        <w:rPr>
          <w:sz w:val="24"/>
          <w:szCs w:val="24"/>
        </w:rPr>
      </w:pPr>
      <w:r w:rsidDel="00000000" w:rsidR="00000000" w:rsidRPr="00000000">
        <w:rPr>
          <w:color w:val="232323"/>
          <w:sz w:val="24"/>
          <w:szCs w:val="24"/>
          <w:rtl w:val="0"/>
        </w:rPr>
        <w:t xml:space="preserve">If </w:t>
      </w:r>
      <w:hyperlink r:id="rId40">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is used, monitor renal function, blood pressure, signs of cardiovascular and gastrointestinal adverse events, and therapeutic response </w:t>
      </w:r>
      <w:hyperlink r:id="rId41">
        <w:r w:rsidDel="00000000" w:rsidR="00000000" w:rsidRPr="00000000">
          <w:rPr>
            <w:color w:val="1155cc"/>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18"/>
        </w:numPr>
        <w:spacing w:after="240" w:before="0" w:beforeAutospacing="0" w:line="390" w:lineRule="auto"/>
        <w:ind w:left="720" w:hanging="360"/>
        <w:rPr>
          <w:sz w:val="24"/>
          <w:szCs w:val="24"/>
        </w:rPr>
      </w:pPr>
      <w:r w:rsidDel="00000000" w:rsidR="00000000" w:rsidRPr="00000000">
        <w:rPr>
          <w:color w:val="232323"/>
          <w:sz w:val="24"/>
          <w:szCs w:val="24"/>
          <w:rtl w:val="0"/>
        </w:rPr>
        <w:t xml:space="preserve">Common adverse effects include gastrointestinal symptoms, cardiovascular events, kidney injury, and hypersensitivity reactions </w:t>
      </w:r>
      <w:hyperlink r:id="rId42">
        <w:r w:rsidDel="00000000" w:rsidR="00000000" w:rsidRPr="00000000">
          <w:rPr>
            <w:color w:val="1155cc"/>
            <w:sz w:val="24"/>
            <w:szCs w:val="24"/>
            <w:rtl w:val="0"/>
          </w:rPr>
          <w:t xml:space="preserve">[4]</w:t>
        </w:r>
      </w:hyperlink>
      <w:hyperlink r:id="rId43">
        <w:r w:rsidDel="00000000" w:rsidR="00000000" w:rsidRPr="00000000">
          <w:rPr>
            <w:color w:val="1155cc"/>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15">
      <w:pPr>
        <w:pStyle w:val="Heading3"/>
        <w:keepNext w:val="0"/>
        <w:keepLines w:val="0"/>
        <w:spacing w:after="40" w:before="460" w:line="346.66666666666663" w:lineRule="auto"/>
        <w:rPr>
          <w:b w:val="1"/>
          <w:bCs w:val="1"/>
          <w:color w:val="232323"/>
          <w:sz w:val="27"/>
          <w:szCs w:val="27"/>
        </w:rPr>
      </w:pPr>
      <w:bookmarkStart w:colFirst="0" w:colLast="0" w:name="_35e2zm4mr9w5" w:id="5"/>
      <w:bookmarkEnd w:id="5"/>
      <w:r w:rsidDel="00000000" w:rsidR="00000000" w:rsidRPr="00000000">
        <w:rPr>
          <w:b w:val="1"/>
          <w:bCs w:val="1"/>
          <w:color w:val="232323"/>
          <w:sz w:val="27"/>
          <w:szCs w:val="27"/>
          <w:rtl w:val="0"/>
        </w:rPr>
        <w:t xml:space="preserve">Rationale</w:t>
      </w:r>
    </w:p>
    <w:p w:rsidR="00000000" w:rsidDel="00000000" w:rsidP="00000000" w:rsidRDefault="00000000" w:rsidRPr="00000000" w14:paraId="00000016">
      <w:pPr>
        <w:numPr>
          <w:ilvl w:val="0"/>
          <w:numId w:val="1"/>
        </w:numPr>
        <w:spacing w:after="0" w:afterAutospacing="0" w:before="220" w:line="390" w:lineRule="auto"/>
        <w:ind w:left="720" w:hanging="360"/>
        <w:rPr>
          <w:sz w:val="24"/>
          <w:szCs w:val="24"/>
        </w:rPr>
      </w:pPr>
      <w:hyperlink r:id="rId44">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is not effective for fibromyalgia pain and poses increased risks in patients with kidney impairment and cardiovascular risk factors (including prediabetes) </w:t>
      </w:r>
      <w:hyperlink r:id="rId45">
        <w:r w:rsidDel="00000000" w:rsidR="00000000" w:rsidRPr="00000000">
          <w:rPr>
            <w:color w:val="1155cc"/>
            <w:sz w:val="24"/>
            <w:szCs w:val="24"/>
            <w:rtl w:val="0"/>
          </w:rPr>
          <w:t xml:space="preserve">[1]</w:t>
        </w:r>
      </w:hyperlink>
      <w:hyperlink r:id="rId46">
        <w:r w:rsidDel="00000000" w:rsidR="00000000" w:rsidRPr="00000000">
          <w:rPr>
            <w:color w:val="1155cc"/>
            <w:sz w:val="24"/>
            <w:szCs w:val="24"/>
            <w:rtl w:val="0"/>
          </w:rPr>
          <w:t xml:space="preserve">[3]</w:t>
        </w:r>
      </w:hyperlink>
      <w:hyperlink r:id="rId47">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7">
      <w:pPr>
        <w:numPr>
          <w:ilvl w:val="0"/>
          <w:numId w:val="1"/>
        </w:numPr>
        <w:spacing w:after="240" w:before="0" w:beforeAutospacing="0" w:line="390" w:lineRule="auto"/>
        <w:ind w:left="720" w:hanging="360"/>
        <w:rPr>
          <w:sz w:val="24"/>
          <w:szCs w:val="24"/>
        </w:rPr>
      </w:pPr>
      <w:r w:rsidDel="00000000" w:rsidR="00000000" w:rsidRPr="00000000">
        <w:rPr>
          <w:color w:val="232323"/>
          <w:sz w:val="24"/>
          <w:szCs w:val="24"/>
          <w:rtl w:val="0"/>
        </w:rPr>
        <w:t xml:space="preserve">Preferred treatments for fibromyalgia pain are non-NSAID medications and nonpharmacologic interventions </w:t>
      </w:r>
      <w:hyperlink r:id="rId48">
        <w:r w:rsidDel="00000000" w:rsidR="00000000" w:rsidRPr="00000000">
          <w:rPr>
            <w:color w:val="1155cc"/>
            <w:sz w:val="24"/>
            <w:szCs w:val="24"/>
            <w:rtl w:val="0"/>
          </w:rPr>
          <w:t xml:space="preserve">[7]</w:t>
        </w:r>
      </w:hyperlink>
      <w:hyperlink r:id="rId49">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18">
      <w:pPr>
        <w:pStyle w:val="Heading3"/>
        <w:keepNext w:val="0"/>
        <w:keepLines w:val="0"/>
        <w:spacing w:after="40" w:before="460" w:line="346.66666666666663" w:lineRule="auto"/>
        <w:rPr>
          <w:b w:val="1"/>
          <w:bCs w:val="1"/>
          <w:color w:val="232323"/>
          <w:sz w:val="27"/>
          <w:szCs w:val="27"/>
        </w:rPr>
      </w:pPr>
      <w:bookmarkStart w:colFirst="0" w:colLast="0" w:name="_l2kix9f11clp" w:id="6"/>
      <w:bookmarkEnd w:id="6"/>
      <w:r w:rsidDel="00000000" w:rsidR="00000000" w:rsidRPr="00000000">
        <w:rPr>
          <w:b w:val="1"/>
          <w:bCs w:val="1"/>
          <w:color w:val="232323"/>
          <w:sz w:val="27"/>
          <w:szCs w:val="27"/>
          <w:rtl w:val="0"/>
        </w:rPr>
        <w:t xml:space="preserve">Key Points</w:t>
      </w:r>
    </w:p>
    <w:p w:rsidR="00000000" w:rsidDel="00000000" w:rsidP="00000000" w:rsidRDefault="00000000" w:rsidRPr="00000000" w14:paraId="00000019">
      <w:pPr>
        <w:numPr>
          <w:ilvl w:val="0"/>
          <w:numId w:val="9"/>
        </w:numPr>
        <w:spacing w:after="0" w:afterAutospacing="0" w:before="220" w:line="390" w:lineRule="auto"/>
        <w:ind w:left="720" w:hanging="360"/>
        <w:rPr>
          <w:sz w:val="24"/>
          <w:szCs w:val="24"/>
        </w:rPr>
      </w:pPr>
      <w:hyperlink r:id="rId50">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is not recommended for fibromyalgia pain unless there is a coexisting peripheral pain condition </w:t>
      </w:r>
      <w:hyperlink r:id="rId51">
        <w:r w:rsidDel="00000000" w:rsidR="00000000" w:rsidRPr="00000000">
          <w:rPr>
            <w:color w:val="1155cc"/>
            <w:sz w:val="24"/>
            <w:szCs w:val="24"/>
            <w:rtl w:val="0"/>
          </w:rPr>
          <w:t xml:space="preserve">[1]</w:t>
        </w:r>
      </w:hyperlink>
      <w:hyperlink r:id="rId52">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A">
      <w:pPr>
        <w:numPr>
          <w:ilvl w:val="0"/>
          <w:numId w:val="9"/>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caution or avoid </w:t>
      </w:r>
      <w:hyperlink r:id="rId53">
        <w:r w:rsidDel="00000000" w:rsidR="00000000" w:rsidRPr="00000000">
          <w:rPr>
            <w:color w:val="1155cc"/>
            <w:sz w:val="24"/>
            <w:szCs w:val="24"/>
            <w:rtl w:val="0"/>
          </w:rPr>
          <w:t xml:space="preserve">celecoxib</w:t>
        </w:r>
      </w:hyperlink>
      <w:r w:rsidDel="00000000" w:rsidR="00000000" w:rsidRPr="00000000">
        <w:rPr>
          <w:rFonts w:ascii="Arial Unicode MS" w:cs="Arial Unicode MS" w:eastAsia="Arial Unicode MS" w:hAnsi="Arial Unicode MS"/>
          <w:color w:val="232323"/>
          <w:sz w:val="24"/>
          <w:szCs w:val="24"/>
          <w:rtl w:val="0"/>
        </w:rPr>
        <w:t xml:space="preserve"> in patients with reduced GFR, especially if GFR ≤30 mL/minute </w:t>
      </w:r>
      <w:hyperlink r:id="rId54">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B">
      <w:pPr>
        <w:numPr>
          <w:ilvl w:val="0"/>
          <w:numId w:val="9"/>
        </w:numPr>
        <w:spacing w:after="0" w:afterAutospacing="0" w:before="0" w:beforeAutospacing="0" w:line="390" w:lineRule="auto"/>
        <w:ind w:left="720" w:hanging="360"/>
        <w:rPr>
          <w:sz w:val="24"/>
          <w:szCs w:val="24"/>
        </w:rPr>
      </w:pPr>
      <w:hyperlink r:id="rId55">
        <w:r w:rsidDel="00000000" w:rsidR="00000000" w:rsidRPr="00000000">
          <w:rPr>
            <w:color w:val="1155cc"/>
            <w:sz w:val="24"/>
            <w:szCs w:val="24"/>
            <w:rtl w:val="0"/>
          </w:rPr>
          <w:t xml:space="preserve">Celecoxib</w:t>
        </w:r>
      </w:hyperlink>
      <w:r w:rsidDel="00000000" w:rsidR="00000000" w:rsidRPr="00000000">
        <w:rPr>
          <w:color w:val="232323"/>
          <w:sz w:val="24"/>
          <w:szCs w:val="24"/>
          <w:rtl w:val="0"/>
        </w:rPr>
        <w:t xml:space="preserve"> increases risk of cardiovascular and kidney adverse events, which is relevant in prediabetes </w:t>
      </w:r>
      <w:hyperlink r:id="rId56">
        <w:r w:rsidDel="00000000" w:rsidR="00000000" w:rsidRPr="00000000">
          <w:rPr>
            <w:color w:val="1155cc"/>
            <w:sz w:val="24"/>
            <w:szCs w:val="24"/>
            <w:rtl w:val="0"/>
          </w:rPr>
          <w:t xml:space="preserve">[4]</w:t>
        </w:r>
      </w:hyperlink>
      <w:hyperlink r:id="rId57">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1C">
      <w:pPr>
        <w:numPr>
          <w:ilvl w:val="0"/>
          <w:numId w:val="9"/>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Preferred fibromyalgia treatments are tricyclics, SNRIs, and alpha-2 ligands, plus nonpharmacologic interventions </w:t>
      </w:r>
      <w:hyperlink r:id="rId58">
        <w:r w:rsidDel="00000000" w:rsidR="00000000" w:rsidRPr="00000000">
          <w:rPr>
            <w:color w:val="1155cc"/>
            <w:sz w:val="24"/>
            <w:szCs w:val="24"/>
            <w:rtl w:val="0"/>
          </w:rPr>
          <w:t xml:space="preserve">[7]</w:t>
        </w:r>
      </w:hyperlink>
      <w:hyperlink r:id="rId59">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1D">
      <w:pPr>
        <w:numPr>
          <w:ilvl w:val="0"/>
          <w:numId w:val="9"/>
        </w:numPr>
        <w:spacing w:after="240" w:before="0" w:beforeAutospacing="0" w:line="390" w:lineRule="auto"/>
        <w:ind w:left="720" w:hanging="360"/>
        <w:rPr>
          <w:sz w:val="24"/>
          <w:szCs w:val="24"/>
        </w:rPr>
      </w:pPr>
      <w:r w:rsidDel="00000000" w:rsidR="00000000" w:rsidRPr="00000000">
        <w:rPr>
          <w:color w:val="232323"/>
          <w:sz w:val="24"/>
          <w:szCs w:val="24"/>
          <w:rtl w:val="0"/>
        </w:rPr>
        <w:t xml:space="preserve">Always confirm the diagnosis and assess for comorbidities before initiating therapy </w:t>
      </w:r>
      <w:hyperlink r:id="rId60">
        <w:r w:rsidDel="00000000" w:rsidR="00000000" w:rsidRPr="00000000">
          <w:rPr>
            <w:color w:val="1155cc"/>
            <w:sz w:val="24"/>
            <w:szCs w:val="24"/>
            <w:rtl w:val="0"/>
          </w:rPr>
          <w:t xml:space="preserve">[17]</w:t>
        </w:r>
      </w:hyperlink>
      <w:hyperlink r:id="rId61">
        <w:r w:rsidDel="00000000" w:rsidR="00000000" w:rsidRPr="00000000">
          <w:rPr>
            <w:color w:val="1155cc"/>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1E">
      <w:pPr>
        <w:pStyle w:val="Heading3"/>
        <w:keepNext w:val="0"/>
        <w:keepLines w:val="0"/>
        <w:spacing w:after="40" w:before="460" w:line="346.66666666666663" w:lineRule="auto"/>
        <w:rPr>
          <w:b w:val="1"/>
          <w:bCs w:val="1"/>
          <w:color w:val="232323"/>
          <w:sz w:val="27"/>
          <w:szCs w:val="27"/>
        </w:rPr>
      </w:pPr>
      <w:bookmarkStart w:colFirst="0" w:colLast="0" w:name="_wvv63s8rfzjy" w:id="7"/>
      <w:bookmarkEnd w:id="7"/>
      <w:r w:rsidDel="00000000" w:rsidR="00000000" w:rsidRPr="00000000">
        <w:rPr>
          <w:b w:val="1"/>
          <w:bCs w:val="1"/>
          <w:color w:val="232323"/>
          <w:sz w:val="27"/>
          <w:szCs w:val="27"/>
          <w:rtl w:val="0"/>
        </w:rPr>
        <w:t xml:space="preserve">Learn More</w:t>
      </w:r>
    </w:p>
    <w:p w:rsidR="00000000" w:rsidDel="00000000" w:rsidP="00000000" w:rsidRDefault="00000000" w:rsidRPr="00000000" w14:paraId="0000001F">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0">
      <w:pPr>
        <w:numPr>
          <w:ilvl w:val="0"/>
          <w:numId w:val="12"/>
        </w:numPr>
        <w:spacing w:after="0" w:afterAutospacing="0" w:before="220" w:line="390" w:lineRule="auto"/>
        <w:ind w:left="720" w:hanging="360"/>
      </w:pPr>
      <w:hyperlink r:id="rId62">
        <w:r w:rsidDel="00000000" w:rsidR="00000000" w:rsidRPr="00000000">
          <w:rPr>
            <w:color w:val="1155cc"/>
            <w:sz w:val="24"/>
            <w:szCs w:val="24"/>
            <w:rtl w:val="0"/>
          </w:rPr>
          <w:t xml:space="preserve">What if the patient has a GFR &lt;30 mL/minute?</w:t>
        </w:r>
      </w:hyperlink>
      <w:r w:rsidDel="00000000" w:rsidR="00000000" w:rsidRPr="00000000">
        <w:rPr>
          <w:rtl w:val="0"/>
        </w:rPr>
      </w:r>
    </w:p>
    <w:p w:rsidR="00000000" w:rsidDel="00000000" w:rsidP="00000000" w:rsidRDefault="00000000" w:rsidRPr="00000000" w14:paraId="00000021">
      <w:pPr>
        <w:numPr>
          <w:ilvl w:val="0"/>
          <w:numId w:val="12"/>
        </w:numPr>
        <w:spacing w:after="0" w:afterAutospacing="0" w:before="0" w:beforeAutospacing="0" w:line="390" w:lineRule="auto"/>
        <w:ind w:left="720" w:hanging="360"/>
      </w:pPr>
      <w:hyperlink r:id="rId63">
        <w:r w:rsidDel="00000000" w:rsidR="00000000" w:rsidRPr="00000000">
          <w:rPr>
            <w:color w:val="1155cc"/>
            <w:sz w:val="24"/>
            <w:szCs w:val="24"/>
            <w:rtl w:val="0"/>
          </w:rPr>
          <w:t xml:space="preserve">What if the patient has active osteoarthritis or other peripheral pain?</w:t>
        </w:r>
      </w:hyperlink>
      <w:r w:rsidDel="00000000" w:rsidR="00000000" w:rsidRPr="00000000">
        <w:rPr>
          <w:rtl w:val="0"/>
        </w:rPr>
      </w:r>
    </w:p>
    <w:p w:rsidR="00000000" w:rsidDel="00000000" w:rsidP="00000000" w:rsidRDefault="00000000" w:rsidRPr="00000000" w14:paraId="00000022">
      <w:pPr>
        <w:numPr>
          <w:ilvl w:val="0"/>
          <w:numId w:val="12"/>
        </w:numPr>
        <w:spacing w:after="0" w:afterAutospacing="0" w:before="0" w:beforeAutospacing="0" w:line="390" w:lineRule="auto"/>
        <w:ind w:left="720" w:hanging="360"/>
      </w:pPr>
      <w:hyperlink r:id="rId64">
        <w:r w:rsidDel="00000000" w:rsidR="00000000" w:rsidRPr="00000000">
          <w:rPr>
            <w:color w:val="1155cc"/>
            <w:sz w:val="24"/>
            <w:szCs w:val="24"/>
            <w:rtl w:val="0"/>
          </w:rPr>
          <w:t xml:space="preserve">What are the preferred pharmacologic options for fibromyalgia pain?</w:t>
        </w:r>
      </w:hyperlink>
      <w:r w:rsidDel="00000000" w:rsidR="00000000" w:rsidRPr="00000000">
        <w:rPr>
          <w:rtl w:val="0"/>
        </w:rPr>
      </w:r>
    </w:p>
    <w:p w:rsidR="00000000" w:rsidDel="00000000" w:rsidP="00000000" w:rsidRDefault="00000000" w:rsidRPr="00000000" w14:paraId="00000023">
      <w:pPr>
        <w:numPr>
          <w:ilvl w:val="0"/>
          <w:numId w:val="12"/>
        </w:numPr>
        <w:spacing w:after="0" w:afterAutospacing="0" w:before="0" w:beforeAutospacing="0" w:line="390" w:lineRule="auto"/>
        <w:ind w:left="720" w:hanging="360"/>
      </w:pPr>
      <w:hyperlink r:id="rId65">
        <w:r w:rsidDel="00000000" w:rsidR="00000000" w:rsidRPr="00000000">
          <w:rPr>
            <w:color w:val="1155cc"/>
            <w:sz w:val="24"/>
            <w:szCs w:val="24"/>
            <w:rtl w:val="0"/>
          </w:rPr>
          <w:t xml:space="preserve">What nonpharmacologic interventions are recommended for fibromyalgia?</w:t>
        </w:r>
      </w:hyperlink>
      <w:r w:rsidDel="00000000" w:rsidR="00000000" w:rsidRPr="00000000">
        <w:rPr>
          <w:rtl w:val="0"/>
        </w:rPr>
      </w:r>
    </w:p>
    <w:p w:rsidR="00000000" w:rsidDel="00000000" w:rsidP="00000000" w:rsidRDefault="00000000" w:rsidRPr="00000000" w14:paraId="00000024">
      <w:pPr>
        <w:numPr>
          <w:ilvl w:val="0"/>
          <w:numId w:val="12"/>
        </w:numPr>
        <w:spacing w:after="0" w:afterAutospacing="0" w:before="0" w:beforeAutospacing="0" w:line="390" w:lineRule="auto"/>
        <w:ind w:left="720" w:hanging="360"/>
      </w:pPr>
      <w:hyperlink r:id="rId66">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25">
      <w:pPr>
        <w:numPr>
          <w:ilvl w:val="0"/>
          <w:numId w:val="12"/>
        </w:numPr>
        <w:spacing w:after="240" w:before="0" w:beforeAutospacing="0" w:line="390" w:lineRule="auto"/>
        <w:ind w:left="720" w:hanging="360"/>
      </w:pPr>
      <w:hyperlink r:id="rId67">
        <w:r w:rsidDel="00000000" w:rsidR="00000000" w:rsidRPr="00000000">
          <w:rPr>
            <w:color w:val="1155cc"/>
            <w:sz w:val="24"/>
            <w:szCs w:val="24"/>
            <w:rtl w:val="0"/>
          </w:rPr>
          <w:t xml:space="preserve">What if the patient has a history of cardiovascular disease?</w:t>
        </w:r>
      </w:hyperlink>
      <w:r w:rsidDel="00000000" w:rsidR="00000000" w:rsidRPr="00000000">
        <w:rPr>
          <w:rtl w:val="0"/>
        </w:rPr>
      </w:r>
    </w:p>
    <w:p w:rsidR="00000000" w:rsidDel="00000000" w:rsidP="00000000" w:rsidRDefault="00000000" w:rsidRPr="00000000" w14:paraId="00000026">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alternative pain management strategies for fibromyalgia.</w:t>
      </w:r>
    </w:p>
    <w:p w:rsidR="00000000" w:rsidDel="00000000" w:rsidP="00000000" w:rsidRDefault="00000000" w:rsidRPr="00000000" w14:paraId="00000027">
      <w:pPr>
        <w:pStyle w:val="Heading3"/>
        <w:keepNext w:val="0"/>
        <w:keepLines w:val="0"/>
        <w:spacing w:after="40" w:before="460" w:line="346.66666666666663" w:lineRule="auto"/>
        <w:rPr>
          <w:b w:val="1"/>
          <w:bCs w:val="1"/>
          <w:color w:val="232323"/>
          <w:sz w:val="27"/>
          <w:szCs w:val="27"/>
        </w:rPr>
      </w:pPr>
      <w:bookmarkStart w:colFirst="0" w:colLast="0" w:name="_k07u51epxo43" w:id="8"/>
      <w:bookmarkEnd w:id="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8">
      <w:pPr>
        <w:numPr>
          <w:ilvl w:val="0"/>
          <w:numId w:val="14"/>
        </w:numPr>
        <w:spacing w:after="0" w:afterAutospacing="0" w:before="240" w:lineRule="auto"/>
        <w:ind w:left="720" w:hanging="360"/>
      </w:pPr>
      <w:hyperlink r:id="rId68">
        <w:r w:rsidDel="00000000" w:rsidR="00000000" w:rsidRPr="00000000">
          <w:rPr>
            <w:color w:val="1155cc"/>
            <w:sz w:val="24"/>
            <w:szCs w:val="24"/>
            <w:rtl w:val="0"/>
          </w:rPr>
          <w:t xml:space="preserve">Fibromyalgia: Treatment in adults &gt; TREATMENT OF REFRACTORY SYMPTOMS &gt; Pharmacologic therapy for patients not responding to initial medications &gt; Other medications</w:t>
        </w:r>
      </w:hyperlink>
      <w:r w:rsidDel="00000000" w:rsidR="00000000" w:rsidRPr="00000000">
        <w:rPr>
          <w:rtl w:val="0"/>
        </w:rPr>
      </w:r>
    </w:p>
    <w:p w:rsidR="00000000" w:rsidDel="00000000" w:rsidP="00000000" w:rsidRDefault="00000000" w:rsidRPr="00000000" w14:paraId="00000029">
      <w:pPr>
        <w:numPr>
          <w:ilvl w:val="0"/>
          <w:numId w:val="14"/>
        </w:numPr>
        <w:spacing w:after="0" w:afterAutospacing="0" w:before="0" w:beforeAutospacing="0" w:lineRule="auto"/>
        <w:ind w:left="720" w:hanging="360"/>
      </w:pPr>
      <w:hyperlink r:id="rId69">
        <w:r w:rsidDel="00000000" w:rsidR="00000000" w:rsidRPr="00000000">
          <w:rPr>
            <w:color w:val="1155cc"/>
            <w:sz w:val="24"/>
            <w:szCs w:val="24"/>
            <w:rtl w:val="0"/>
          </w:rPr>
          <w:t xml:space="preserve">Fibromyalgia and nociplastic pain: Overview in rheumatic and musculoskeletal pain disorders &gt; TREATMENT &gt; Treating fibromyalgia</w:t>
        </w:r>
      </w:hyperlink>
      <w:r w:rsidDel="00000000" w:rsidR="00000000" w:rsidRPr="00000000">
        <w:rPr>
          <w:rtl w:val="0"/>
        </w:rPr>
      </w:r>
    </w:p>
    <w:p w:rsidR="00000000" w:rsidDel="00000000" w:rsidP="00000000" w:rsidRDefault="00000000" w:rsidRPr="00000000" w14:paraId="0000002A">
      <w:pPr>
        <w:numPr>
          <w:ilvl w:val="0"/>
          <w:numId w:val="14"/>
        </w:numPr>
        <w:spacing w:after="0" w:afterAutospacing="0" w:before="0" w:beforeAutospacing="0" w:lineRule="auto"/>
        <w:ind w:left="720" w:hanging="360"/>
      </w:pPr>
      <w:hyperlink r:id="rId70">
        <w:r w:rsidDel="00000000" w:rsidR="00000000" w:rsidRPr="00000000">
          <w:rPr>
            <w:color w:val="1155cc"/>
            <w:sz w:val="24"/>
            <w:szCs w:val="24"/>
            <w:rtl w:val="0"/>
          </w:rPr>
          <w:t xml:space="preserve">Celecoxib: Drug information &gt; Dosing: Kidney Impairment: Adult</w:t>
        </w:r>
      </w:hyperlink>
      <w:r w:rsidDel="00000000" w:rsidR="00000000" w:rsidRPr="00000000">
        <w:rPr>
          <w:rtl w:val="0"/>
        </w:rPr>
      </w:r>
    </w:p>
    <w:p w:rsidR="00000000" w:rsidDel="00000000" w:rsidP="00000000" w:rsidRDefault="00000000" w:rsidRPr="00000000" w14:paraId="0000002B">
      <w:pPr>
        <w:numPr>
          <w:ilvl w:val="0"/>
          <w:numId w:val="14"/>
        </w:numPr>
        <w:spacing w:after="0" w:afterAutospacing="0" w:before="0" w:beforeAutospacing="0" w:lineRule="auto"/>
        <w:ind w:left="720" w:hanging="360"/>
      </w:pPr>
      <w:hyperlink r:id="rId71">
        <w:r w:rsidDel="00000000" w:rsidR="00000000" w:rsidRPr="00000000">
          <w:rPr>
            <w:color w:val="1155cc"/>
            <w:sz w:val="24"/>
            <w:szCs w:val="24"/>
            <w:rtl w:val="0"/>
          </w:rPr>
          <w:t xml:space="preserve">Celecoxib: Drug information &gt; Adverse Reactions (Significant): Considerations</w:t>
        </w:r>
      </w:hyperlink>
      <w:r w:rsidDel="00000000" w:rsidR="00000000" w:rsidRPr="00000000">
        <w:rPr>
          <w:rtl w:val="0"/>
        </w:rPr>
      </w:r>
    </w:p>
    <w:p w:rsidR="00000000" w:rsidDel="00000000" w:rsidP="00000000" w:rsidRDefault="00000000" w:rsidRPr="00000000" w14:paraId="0000002C">
      <w:pPr>
        <w:numPr>
          <w:ilvl w:val="0"/>
          <w:numId w:val="14"/>
        </w:numPr>
        <w:spacing w:after="0" w:afterAutospacing="0" w:before="0" w:beforeAutospacing="0" w:lineRule="auto"/>
        <w:ind w:left="720" w:hanging="360"/>
      </w:pPr>
      <w:hyperlink r:id="rId72">
        <w:r w:rsidDel="00000000" w:rsidR="00000000" w:rsidRPr="00000000">
          <w:rPr>
            <w:color w:val="1155cc"/>
            <w:sz w:val="24"/>
            <w:szCs w:val="24"/>
            <w:rtl w:val="0"/>
          </w:rPr>
          <w:t xml:space="preserve">Celecoxib: Drug information &gt; ALERT: US Boxed Warning</w:t>
        </w:r>
      </w:hyperlink>
      <w:r w:rsidDel="00000000" w:rsidR="00000000" w:rsidRPr="00000000">
        <w:rPr>
          <w:rtl w:val="0"/>
        </w:rPr>
      </w:r>
    </w:p>
    <w:p w:rsidR="00000000" w:rsidDel="00000000" w:rsidP="00000000" w:rsidRDefault="00000000" w:rsidRPr="00000000" w14:paraId="0000002D">
      <w:pPr>
        <w:numPr>
          <w:ilvl w:val="0"/>
          <w:numId w:val="14"/>
        </w:numPr>
        <w:spacing w:after="0" w:afterAutospacing="0" w:before="0" w:beforeAutospacing="0" w:lineRule="auto"/>
        <w:ind w:left="720" w:hanging="360"/>
      </w:pPr>
      <w:hyperlink r:id="rId73">
        <w:r w:rsidDel="00000000" w:rsidR="00000000" w:rsidRPr="00000000">
          <w:rPr>
            <w:color w:val="1155cc"/>
            <w:sz w:val="24"/>
            <w:szCs w:val="24"/>
            <w:rtl w:val="0"/>
          </w:rPr>
          <w:t xml:space="preserve">Celecoxib: Drug information &gt; Dosing: Adult &gt; Top Note</w:t>
        </w:r>
      </w:hyperlink>
      <w:r w:rsidDel="00000000" w:rsidR="00000000" w:rsidRPr="00000000">
        <w:rPr>
          <w:rtl w:val="0"/>
        </w:rPr>
      </w:r>
    </w:p>
    <w:p w:rsidR="00000000" w:rsidDel="00000000" w:rsidP="00000000" w:rsidRDefault="00000000" w:rsidRPr="00000000" w14:paraId="0000002E">
      <w:pPr>
        <w:numPr>
          <w:ilvl w:val="0"/>
          <w:numId w:val="14"/>
        </w:numPr>
        <w:spacing w:after="0" w:afterAutospacing="0" w:before="0" w:beforeAutospacing="0" w:lineRule="auto"/>
        <w:ind w:left="720" w:hanging="360"/>
      </w:pPr>
      <w:hyperlink r:id="rId74">
        <w:r w:rsidDel="00000000" w:rsidR="00000000" w:rsidRPr="00000000">
          <w:rPr>
            <w:color w:val="1155cc"/>
            <w:sz w:val="24"/>
            <w:szCs w:val="24"/>
            <w:rtl w:val="0"/>
          </w:rPr>
          <w:t xml:space="preserve">Fibromyalgia: Treatment in adults &gt; INITIAL TREATMENT &gt; Initial pharmacologic therapy &gt; When to start pharmacologic therapy</w:t>
        </w:r>
      </w:hyperlink>
      <w:r w:rsidDel="00000000" w:rsidR="00000000" w:rsidRPr="00000000">
        <w:rPr>
          <w:rtl w:val="0"/>
        </w:rPr>
      </w:r>
    </w:p>
    <w:p w:rsidR="00000000" w:rsidDel="00000000" w:rsidP="00000000" w:rsidRDefault="00000000" w:rsidRPr="00000000" w14:paraId="0000002F">
      <w:pPr>
        <w:numPr>
          <w:ilvl w:val="0"/>
          <w:numId w:val="14"/>
        </w:numPr>
        <w:spacing w:after="0" w:afterAutospacing="0" w:before="0" w:beforeAutospacing="0" w:lineRule="auto"/>
        <w:ind w:left="720" w:hanging="360"/>
      </w:pPr>
      <w:hyperlink r:id="rId75">
        <w:r w:rsidDel="00000000" w:rsidR="00000000" w:rsidRPr="00000000">
          <w:rPr>
            <w:color w:val="1155cc"/>
            <w:sz w:val="24"/>
            <w:szCs w:val="24"/>
            <w:rtl w:val="0"/>
          </w:rPr>
          <w:t xml:space="preserve">Fibromyalgia: Treatment in adults &gt; INITIAL TREATMENT &gt; Initial pharmacologic therapy &gt; Choice of initial agent based on clinical presentation</w:t>
        </w:r>
      </w:hyperlink>
      <w:r w:rsidDel="00000000" w:rsidR="00000000" w:rsidRPr="00000000">
        <w:rPr>
          <w:rtl w:val="0"/>
        </w:rPr>
      </w:r>
    </w:p>
    <w:p w:rsidR="00000000" w:rsidDel="00000000" w:rsidP="00000000" w:rsidRDefault="00000000" w:rsidRPr="00000000" w14:paraId="00000030">
      <w:pPr>
        <w:numPr>
          <w:ilvl w:val="0"/>
          <w:numId w:val="14"/>
        </w:numPr>
        <w:spacing w:after="0" w:afterAutospacing="0" w:before="0" w:beforeAutospacing="0" w:lineRule="auto"/>
        <w:ind w:left="720" w:hanging="360"/>
      </w:pPr>
      <w:hyperlink r:id="rId76">
        <w:r w:rsidDel="00000000" w:rsidR="00000000" w:rsidRPr="00000000">
          <w:rPr>
            <w:color w:val="1155cc"/>
            <w:sz w:val="24"/>
            <w:szCs w:val="24"/>
            <w:rtl w:val="0"/>
          </w:rPr>
          <w:t xml:space="preserve">Fibromyalgia: Treatment in adults &gt; INITIAL TREATMENT &gt; Initial pharmacologic therapy &gt; Choice of initial agent based on clinical presentation &gt; Diffuse, widespread pain without major mood or sleep disturbances (most common fibromyalgia presentation)</w:t>
        </w:r>
      </w:hyperlink>
      <w:r w:rsidDel="00000000" w:rsidR="00000000" w:rsidRPr="00000000">
        <w:rPr>
          <w:rtl w:val="0"/>
        </w:rPr>
      </w:r>
    </w:p>
    <w:p w:rsidR="00000000" w:rsidDel="00000000" w:rsidP="00000000" w:rsidRDefault="00000000" w:rsidRPr="00000000" w14:paraId="00000031">
      <w:pPr>
        <w:numPr>
          <w:ilvl w:val="0"/>
          <w:numId w:val="14"/>
        </w:numPr>
        <w:spacing w:after="0" w:afterAutospacing="0" w:before="0" w:beforeAutospacing="0" w:lineRule="auto"/>
        <w:ind w:left="720" w:hanging="360"/>
      </w:pPr>
      <w:hyperlink r:id="rId77">
        <w:r w:rsidDel="00000000" w:rsidR="00000000" w:rsidRPr="00000000">
          <w:rPr>
            <w:color w:val="1155cc"/>
            <w:sz w:val="24"/>
            <w:szCs w:val="24"/>
            <w:rtl w:val="0"/>
          </w:rPr>
          <w:t xml:space="preserve">Fibromyalgia: Treatment in adults &gt; INITIAL TREATMENT &gt; Initial pharmacologic therapy &gt; Choice of initial agent based on clinical presentation &gt; Patients with severe fatigue and/or depression</w:t>
        </w:r>
      </w:hyperlink>
      <w:r w:rsidDel="00000000" w:rsidR="00000000" w:rsidRPr="00000000">
        <w:rPr>
          <w:rtl w:val="0"/>
        </w:rPr>
      </w:r>
    </w:p>
    <w:p w:rsidR="00000000" w:rsidDel="00000000" w:rsidP="00000000" w:rsidRDefault="00000000" w:rsidRPr="00000000" w14:paraId="00000032">
      <w:pPr>
        <w:numPr>
          <w:ilvl w:val="0"/>
          <w:numId w:val="14"/>
        </w:numPr>
        <w:spacing w:after="0" w:afterAutospacing="0" w:before="0" w:beforeAutospacing="0" w:lineRule="auto"/>
        <w:ind w:left="720" w:hanging="360"/>
      </w:pPr>
      <w:hyperlink r:id="rId78">
        <w:r w:rsidDel="00000000" w:rsidR="00000000" w:rsidRPr="00000000">
          <w:rPr>
            <w:color w:val="1155cc"/>
            <w:sz w:val="24"/>
            <w:szCs w:val="24"/>
            <w:rtl w:val="0"/>
          </w:rPr>
          <w:t xml:space="preserve">Fibromyalgia: Treatment in adults &gt; INITIAL TREATMENT &gt; Initial pharmacologic therapy &gt; Choice of initial agent based on clinical presentation &gt; Prominent sleep disturbance</w:t>
        </w:r>
      </w:hyperlink>
      <w:r w:rsidDel="00000000" w:rsidR="00000000" w:rsidRPr="00000000">
        <w:rPr>
          <w:rtl w:val="0"/>
        </w:rPr>
      </w:r>
    </w:p>
    <w:p w:rsidR="00000000" w:rsidDel="00000000" w:rsidP="00000000" w:rsidRDefault="00000000" w:rsidRPr="00000000" w14:paraId="00000033">
      <w:pPr>
        <w:numPr>
          <w:ilvl w:val="0"/>
          <w:numId w:val="14"/>
        </w:numPr>
        <w:spacing w:after="0" w:afterAutospacing="0" w:before="0" w:beforeAutospacing="0" w:lineRule="auto"/>
        <w:ind w:left="720" w:hanging="360"/>
      </w:pPr>
      <w:hyperlink r:id="rId79">
        <w:r w:rsidDel="00000000" w:rsidR="00000000" w:rsidRPr="00000000">
          <w:rPr>
            <w:color w:val="1155cc"/>
            <w:sz w:val="24"/>
            <w:szCs w:val="24"/>
            <w:rtl w:val="0"/>
          </w:rPr>
          <w:t xml:space="preserve">Fibromyalgia: Treatment in adults &gt; INITIAL TREATMENT &gt; Initial pharmacologic therapy &gt; Choice of initial agent based on clinical presentation &gt; Prominent sleep disturbance &gt; Alpha-2 ligands (pregabalin and gabapentin)</w:t>
        </w:r>
      </w:hyperlink>
      <w:r w:rsidDel="00000000" w:rsidR="00000000" w:rsidRPr="00000000">
        <w:rPr>
          <w:rtl w:val="0"/>
        </w:rPr>
      </w:r>
    </w:p>
    <w:p w:rsidR="00000000" w:rsidDel="00000000" w:rsidP="00000000" w:rsidRDefault="00000000" w:rsidRPr="00000000" w14:paraId="00000034">
      <w:pPr>
        <w:numPr>
          <w:ilvl w:val="0"/>
          <w:numId w:val="14"/>
        </w:numPr>
        <w:spacing w:after="0" w:afterAutospacing="0" w:before="0" w:beforeAutospacing="0" w:lineRule="auto"/>
        <w:ind w:left="720" w:hanging="360"/>
      </w:pPr>
      <w:hyperlink r:id="rId80">
        <w:r w:rsidDel="00000000" w:rsidR="00000000" w:rsidRPr="00000000">
          <w:rPr>
            <w:color w:val="1155cc"/>
            <w:sz w:val="24"/>
            <w:szCs w:val="24"/>
            <w:rtl w:val="0"/>
          </w:rPr>
          <w:t xml:space="preserve">Fibromyalgia: Treatment in adults &gt; SUMMARY AND RECOMMENDATIONS</w:t>
        </w:r>
      </w:hyperlink>
      <w:r w:rsidDel="00000000" w:rsidR="00000000" w:rsidRPr="00000000">
        <w:rPr>
          <w:rtl w:val="0"/>
        </w:rPr>
      </w:r>
    </w:p>
    <w:p w:rsidR="00000000" w:rsidDel="00000000" w:rsidP="00000000" w:rsidRDefault="00000000" w:rsidRPr="00000000" w14:paraId="00000035">
      <w:pPr>
        <w:numPr>
          <w:ilvl w:val="0"/>
          <w:numId w:val="14"/>
        </w:numPr>
        <w:spacing w:after="0" w:afterAutospacing="0" w:before="0" w:beforeAutospacing="0" w:lineRule="auto"/>
        <w:ind w:left="720" w:hanging="360"/>
      </w:pPr>
      <w:hyperlink r:id="rId81">
        <w:r w:rsidDel="00000000" w:rsidR="00000000" w:rsidRPr="00000000">
          <w:rPr>
            <w:color w:val="1155cc"/>
            <w:sz w:val="24"/>
            <w:szCs w:val="24"/>
            <w:rtl w:val="0"/>
          </w:rPr>
          <w:t xml:space="preserve">Fibromyalgia: Treatment in adults &gt; INITIAL TREATMENT &gt; Core nonpharmacologic interventions</w:t>
        </w:r>
      </w:hyperlink>
      <w:r w:rsidDel="00000000" w:rsidR="00000000" w:rsidRPr="00000000">
        <w:rPr>
          <w:rtl w:val="0"/>
        </w:rPr>
      </w:r>
    </w:p>
    <w:p w:rsidR="00000000" w:rsidDel="00000000" w:rsidP="00000000" w:rsidRDefault="00000000" w:rsidRPr="00000000" w14:paraId="00000036">
      <w:pPr>
        <w:numPr>
          <w:ilvl w:val="0"/>
          <w:numId w:val="14"/>
        </w:numPr>
        <w:spacing w:after="0" w:afterAutospacing="0" w:before="0" w:beforeAutospacing="0" w:lineRule="auto"/>
        <w:ind w:left="720" w:hanging="360"/>
      </w:pPr>
      <w:hyperlink r:id="rId82">
        <w:r w:rsidDel="00000000" w:rsidR="00000000" w:rsidRPr="00000000">
          <w:rPr>
            <w:color w:val="1155cc"/>
            <w:sz w:val="24"/>
            <w:szCs w:val="24"/>
            <w:rtl w:val="0"/>
          </w:rPr>
          <w:t xml:space="preserve">Celecoxib: Drug information &gt; Monitoring Parameters</w:t>
        </w:r>
      </w:hyperlink>
      <w:r w:rsidDel="00000000" w:rsidR="00000000" w:rsidRPr="00000000">
        <w:rPr>
          <w:rtl w:val="0"/>
        </w:rPr>
      </w:r>
    </w:p>
    <w:p w:rsidR="00000000" w:rsidDel="00000000" w:rsidP="00000000" w:rsidRDefault="00000000" w:rsidRPr="00000000" w14:paraId="00000037">
      <w:pPr>
        <w:numPr>
          <w:ilvl w:val="0"/>
          <w:numId w:val="14"/>
        </w:numPr>
        <w:spacing w:after="0" w:afterAutospacing="0" w:before="0" w:beforeAutospacing="0" w:lineRule="auto"/>
        <w:ind w:left="720" w:hanging="360"/>
      </w:pPr>
      <w:hyperlink r:id="rId83">
        <w:r w:rsidDel="00000000" w:rsidR="00000000" w:rsidRPr="00000000">
          <w:rPr>
            <w:color w:val="1155cc"/>
            <w:sz w:val="24"/>
            <w:szCs w:val="24"/>
            <w:rtl w:val="0"/>
          </w:rPr>
          <w:t xml:space="preserve">Celecoxib: Drug information &gt; Adverse Reactions</w:t>
        </w:r>
      </w:hyperlink>
      <w:r w:rsidDel="00000000" w:rsidR="00000000" w:rsidRPr="00000000">
        <w:rPr>
          <w:rtl w:val="0"/>
        </w:rPr>
      </w:r>
    </w:p>
    <w:p w:rsidR="00000000" w:rsidDel="00000000" w:rsidP="00000000" w:rsidRDefault="00000000" w:rsidRPr="00000000" w14:paraId="00000038">
      <w:pPr>
        <w:numPr>
          <w:ilvl w:val="0"/>
          <w:numId w:val="14"/>
        </w:numPr>
        <w:spacing w:after="0" w:afterAutospacing="0" w:before="0" w:beforeAutospacing="0" w:lineRule="auto"/>
        <w:ind w:left="720" w:hanging="360"/>
      </w:pPr>
      <w:hyperlink r:id="rId84">
        <w:r w:rsidDel="00000000" w:rsidR="00000000" w:rsidRPr="00000000">
          <w:rPr>
            <w:color w:val="1155cc"/>
            <w:sz w:val="24"/>
            <w:szCs w:val="24"/>
            <w:rtl w:val="0"/>
          </w:rPr>
          <w:t xml:space="preserve">Fibromyalgia: Treatment in adults &gt; OVERVIEW OF THE CLINICAL APPROACH &gt; Addressing comorbidities</w:t>
        </w:r>
      </w:hyperlink>
      <w:r w:rsidDel="00000000" w:rsidR="00000000" w:rsidRPr="00000000">
        <w:rPr>
          <w:rtl w:val="0"/>
        </w:rPr>
      </w:r>
    </w:p>
    <w:p w:rsidR="00000000" w:rsidDel="00000000" w:rsidP="00000000" w:rsidRDefault="00000000" w:rsidRPr="00000000" w14:paraId="00000039">
      <w:pPr>
        <w:numPr>
          <w:ilvl w:val="0"/>
          <w:numId w:val="14"/>
        </w:numPr>
        <w:spacing w:after="240" w:before="0" w:beforeAutospacing="0" w:lineRule="auto"/>
        <w:ind w:left="720" w:hanging="360"/>
      </w:pPr>
      <w:hyperlink r:id="rId85">
        <w:r w:rsidDel="00000000" w:rsidR="00000000" w:rsidRPr="00000000">
          <w:rPr>
            <w:color w:val="1155cc"/>
            <w:sz w:val="24"/>
            <w:szCs w:val="24"/>
            <w:rtl w:val="0"/>
          </w:rPr>
          <w:t xml:space="preserve">Fibromyalgia: Treatment in adults &gt; TREATMENT OF REFRACTORY SYMPTOMS &gt; Clinical reassessment</w:t>
        </w:r>
      </w:hyperlink>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rn7ru4zcn1"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58</w:t>
      </w:r>
      <w:r w:rsidDel="00000000" w:rsidR="00000000" w:rsidRPr="00000000">
        <w:rPr>
          <w:rtl w:val="0"/>
        </w:rPr>
      </w:r>
    </w:p>
    <w:p w:rsidR="00000000" w:rsidDel="00000000" w:rsidP="00000000" w:rsidRDefault="00000000" w:rsidRPr="00000000" w14:paraId="0000003C">
      <w:pPr>
        <w:spacing w:line="390" w:lineRule="auto"/>
        <w:rPr>
          <w:color w:val="232323"/>
          <w:sz w:val="24"/>
          <w:szCs w:val="24"/>
        </w:rPr>
      </w:pPr>
      <w:r w:rsidDel="00000000" w:rsidR="00000000" w:rsidRPr="00000000">
        <w:rPr>
          <w:color w:val="232323"/>
          <w:sz w:val="24"/>
          <w:szCs w:val="24"/>
          <w:rtl w:val="0"/>
        </w:rPr>
        <w:t xml:space="preserve">ASSUMPTIONS: You are asking whether the urine albumin-to-creatinine ratio (UACR) is an indicator of early nephropathy, particularly in the context of diabetes or kidney disease screening in adults.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line="390" w:lineRule="auto"/>
        <w:rPr>
          <w:color w:val="232323"/>
          <w:sz w:val="24"/>
          <w:szCs w:val="24"/>
        </w:rPr>
      </w:pPr>
      <w:r w:rsidDel="00000000" w:rsidR="00000000" w:rsidRPr="00000000">
        <w:rPr>
          <w:color w:val="232323"/>
          <w:sz w:val="24"/>
          <w:szCs w:val="24"/>
          <w:rtl w:val="0"/>
        </w:rPr>
        <w:t xml:space="preserve">The urine albumin-to-creatinine ratio (UACR) is the preferred screening method for detecting moderately increased albuminuria (historically called microalbuminuria), which is recognized as the earliest clinical finding of diabetic nephropathy and an indicator of early kidney damage</w:t>
      </w:r>
      <w:hyperlink r:id="rId86">
        <w:r w:rsidDel="00000000" w:rsidR="00000000" w:rsidRPr="00000000">
          <w:rPr>
            <w:color w:val="232323"/>
            <w:sz w:val="24"/>
            <w:szCs w:val="24"/>
            <w:rtl w:val="0"/>
          </w:rPr>
          <w:t xml:space="preserve"> </w:t>
        </w:r>
      </w:hyperlink>
      <w:hyperlink r:id="rId87">
        <w:r w:rsidDel="00000000" w:rsidR="00000000" w:rsidRPr="00000000">
          <w:rPr>
            <w:color w:val="1155cc"/>
            <w:sz w:val="24"/>
            <w:szCs w:val="24"/>
            <w:rtl w:val="0"/>
          </w:rPr>
          <w:t xml:space="preserve">[1]</w:t>
        </w:r>
      </w:hyperlink>
      <w:hyperlink r:id="rId88">
        <w:r w:rsidDel="00000000" w:rsidR="00000000" w:rsidRPr="00000000">
          <w:rPr>
            <w:color w:val="1155cc"/>
            <w:sz w:val="24"/>
            <w:szCs w:val="24"/>
            <w:rtl w:val="0"/>
          </w:rPr>
          <w:t xml:space="preserve">[2]</w:t>
        </w:r>
      </w:hyperlink>
      <w:hyperlink r:id="rId89">
        <w:r w:rsidDel="00000000" w:rsidR="00000000" w:rsidRPr="00000000">
          <w:rPr>
            <w:color w:val="1155cc"/>
            <w:sz w:val="24"/>
            <w:szCs w:val="24"/>
            <w:rtl w:val="0"/>
          </w:rPr>
          <w:t xml:space="preserve">[3]</w:t>
        </w:r>
      </w:hyperlink>
      <w:hyperlink r:id="rId90">
        <w:r w:rsidDel="00000000" w:rsidR="00000000" w:rsidRPr="00000000">
          <w:rPr>
            <w:color w:val="1155cc"/>
            <w:sz w:val="24"/>
            <w:szCs w:val="24"/>
            <w:rtl w:val="0"/>
          </w:rPr>
          <w:t xml:space="preserve">[4]</w:t>
        </w:r>
      </w:hyperlink>
      <w:hyperlink r:id="rId91">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 A persistent UACR in the range of 30 to 300 mg/g creatinine (or 3.4 to 34 mg/mmol) suggests moderately increased albuminuria and is considered a marker of early nephropathy</w:t>
      </w:r>
      <w:hyperlink r:id="rId92">
        <w:r w:rsidDel="00000000" w:rsidR="00000000" w:rsidRPr="00000000">
          <w:rPr>
            <w:color w:val="232323"/>
            <w:sz w:val="24"/>
            <w:szCs w:val="24"/>
            <w:rtl w:val="0"/>
          </w:rPr>
          <w:t xml:space="preserve"> </w:t>
        </w:r>
      </w:hyperlink>
      <w:hyperlink r:id="rId93">
        <w:r w:rsidDel="00000000" w:rsidR="00000000" w:rsidRPr="00000000">
          <w:rPr>
            <w:color w:val="1155cc"/>
            <w:sz w:val="24"/>
            <w:szCs w:val="24"/>
            <w:rtl w:val="0"/>
          </w:rPr>
          <w:t xml:space="preserve">[6]</w:t>
        </w:r>
      </w:hyperlink>
      <w:hyperlink r:id="rId94">
        <w:r w:rsidDel="00000000" w:rsidR="00000000" w:rsidRPr="00000000">
          <w:rPr>
            <w:color w:val="1155cc"/>
            <w:sz w:val="24"/>
            <w:szCs w:val="24"/>
            <w:rtl w:val="0"/>
          </w:rPr>
          <w:t xml:space="preserve">[7]</w:t>
        </w:r>
      </w:hyperlink>
      <w:hyperlink r:id="rId95">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 This test is simple, inexpensive, and correlates well with 24-hour urine albumin excretion, making it suitable for routine screening and monitoring</w:t>
      </w:r>
      <w:hyperlink r:id="rId96">
        <w:r w:rsidDel="00000000" w:rsidR="00000000" w:rsidRPr="00000000">
          <w:rPr>
            <w:color w:val="232323"/>
            <w:sz w:val="24"/>
            <w:szCs w:val="24"/>
            <w:rtl w:val="0"/>
          </w:rPr>
          <w:t xml:space="preserve"> </w:t>
        </w:r>
      </w:hyperlink>
      <w:hyperlink r:id="rId97">
        <w:r w:rsidDel="00000000" w:rsidR="00000000" w:rsidRPr="00000000">
          <w:rPr>
            <w:color w:val="1155cc"/>
            <w:sz w:val="24"/>
            <w:szCs w:val="24"/>
            <w:rtl w:val="0"/>
          </w:rPr>
          <w:t xml:space="preserve">[3]</w:t>
        </w:r>
      </w:hyperlink>
      <w:hyperlink r:id="rId98">
        <w:r w:rsidDel="00000000" w:rsidR="00000000" w:rsidRPr="00000000">
          <w:rPr>
            <w:color w:val="1155cc"/>
            <w:sz w:val="24"/>
            <w:szCs w:val="24"/>
            <w:rtl w:val="0"/>
          </w:rPr>
          <w:t xml:space="preserve">[4]</w:t>
        </w:r>
      </w:hyperlink>
      <w:hyperlink r:id="rId9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F">
      <w:pPr>
        <w:spacing w:line="390" w:lineRule="auto"/>
        <w:rPr>
          <w:color w:val="232323"/>
          <w:sz w:val="24"/>
          <w:szCs w:val="24"/>
        </w:rPr>
      </w:pPr>
      <w:r w:rsidDel="00000000" w:rsidR="00000000" w:rsidRPr="00000000">
        <w:rPr>
          <w:rtl w:val="0"/>
        </w:rPr>
      </w:r>
    </w:p>
    <w:p w:rsidR="00000000" w:rsidDel="00000000" w:rsidP="00000000" w:rsidRDefault="00000000" w:rsidRPr="00000000" w14:paraId="00000040">
      <w:pPr>
        <w:spacing w:line="390" w:lineRule="auto"/>
        <w:rPr>
          <w:color w:val="232323"/>
          <w:sz w:val="24"/>
          <w:szCs w:val="24"/>
        </w:rPr>
      </w:pPr>
      <w:r w:rsidDel="00000000" w:rsidR="00000000" w:rsidRPr="00000000">
        <w:rPr>
          <w:color w:val="232323"/>
          <w:sz w:val="24"/>
          <w:szCs w:val="24"/>
          <w:rtl w:val="0"/>
        </w:rPr>
        <w:t xml:space="preserve">The UACR is also accepted as a marker of increased cardiovascular risk and early arterial disease, further supporting its role in identifying early nephropathy and associated complications</w:t>
      </w:r>
      <w:hyperlink r:id="rId100">
        <w:r w:rsidDel="00000000" w:rsidR="00000000" w:rsidRPr="00000000">
          <w:rPr>
            <w:color w:val="232323"/>
            <w:sz w:val="24"/>
            <w:szCs w:val="24"/>
            <w:rtl w:val="0"/>
          </w:rPr>
          <w:t xml:space="preserve"> </w:t>
        </w:r>
      </w:hyperlink>
      <w:hyperlink r:id="rId101">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1">
      <w:pPr>
        <w:spacing w:line="390" w:lineRule="auto"/>
        <w:rPr>
          <w:color w:val="232323"/>
          <w:sz w:val="24"/>
          <w:szCs w:val="24"/>
        </w:rPr>
      </w:pPr>
      <w:r w:rsidDel="00000000" w:rsidR="00000000" w:rsidRPr="00000000">
        <w:rPr>
          <w:rtl w:val="0"/>
        </w:rPr>
      </w:r>
    </w:p>
    <w:p w:rsidR="00000000" w:rsidDel="00000000" w:rsidP="00000000" w:rsidRDefault="00000000" w:rsidRPr="00000000" w14:paraId="00000042">
      <w:pPr>
        <w:spacing w:line="390" w:lineRule="auto"/>
        <w:rPr>
          <w:color w:val="232323"/>
          <w:sz w:val="24"/>
          <w:szCs w:val="24"/>
        </w:rPr>
      </w:pPr>
      <w:r w:rsidDel="00000000" w:rsidR="00000000" w:rsidRPr="00000000">
        <w:rPr>
          <w:color w:val="232323"/>
          <w:sz w:val="24"/>
          <w:szCs w:val="24"/>
          <w:rtl w:val="0"/>
        </w:rPr>
        <w:t xml:space="preserve">For optimal reliability, it is recommended to confirm abnormal UACR results with repeat measurements over a three- to six-month period, as transient elevations can occur due to factors such as fever, exercise, heart failure, or acute hyperglycemia</w:t>
      </w:r>
      <w:hyperlink r:id="rId102">
        <w:r w:rsidDel="00000000" w:rsidR="00000000" w:rsidRPr="00000000">
          <w:rPr>
            <w:color w:val="232323"/>
            <w:sz w:val="24"/>
            <w:szCs w:val="24"/>
            <w:rtl w:val="0"/>
          </w:rPr>
          <w:t xml:space="preserve"> </w:t>
        </w:r>
      </w:hyperlink>
      <w:hyperlink r:id="rId103">
        <w:r w:rsidDel="00000000" w:rsidR="00000000" w:rsidRPr="00000000">
          <w:rPr>
            <w:color w:val="1155cc"/>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3">
      <w:pPr>
        <w:pStyle w:val="Heading3"/>
        <w:keepNext w:val="0"/>
        <w:keepLines w:val="0"/>
        <w:spacing w:after="40" w:before="460" w:line="346.66666666666663" w:lineRule="auto"/>
        <w:rPr>
          <w:b w:val="1"/>
          <w:bCs w:val="1"/>
          <w:color w:val="232323"/>
          <w:sz w:val="27"/>
          <w:szCs w:val="27"/>
        </w:rPr>
      </w:pPr>
      <w:bookmarkStart w:colFirst="0" w:colLast="0" w:name="_yih22ee440ii" w:id="10"/>
      <w:bookmarkEnd w:id="10"/>
      <w:r w:rsidDel="00000000" w:rsidR="00000000" w:rsidRPr="00000000">
        <w:rPr>
          <w:b w:val="1"/>
          <w:bCs w:val="1"/>
          <w:color w:val="232323"/>
          <w:sz w:val="27"/>
          <w:szCs w:val="27"/>
          <w:rtl w:val="0"/>
        </w:rPr>
        <w:t xml:space="preserve">Learn More</w:t>
      </w:r>
    </w:p>
    <w:p w:rsidR="00000000" w:rsidDel="00000000" w:rsidP="00000000" w:rsidRDefault="00000000" w:rsidRPr="00000000" w14:paraId="00000044">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5">
      <w:pPr>
        <w:numPr>
          <w:ilvl w:val="0"/>
          <w:numId w:val="17"/>
        </w:numPr>
        <w:spacing w:after="0" w:afterAutospacing="0" w:before="220" w:line="390" w:lineRule="auto"/>
        <w:ind w:left="720" w:hanging="360"/>
      </w:pPr>
      <w:hyperlink r:id="rId104">
        <w:r w:rsidDel="00000000" w:rsidR="00000000" w:rsidRPr="00000000">
          <w:rPr>
            <w:color w:val="1155cc"/>
            <w:sz w:val="24"/>
            <w:szCs w:val="24"/>
            <w:rtl w:val="0"/>
          </w:rPr>
          <w:t xml:space="preserve">How should abnormal urine albumin-to-creatinine ratio results be confirmed?</w:t>
        </w:r>
      </w:hyperlink>
      <w:r w:rsidDel="00000000" w:rsidR="00000000" w:rsidRPr="00000000">
        <w:rPr>
          <w:rtl w:val="0"/>
        </w:rPr>
      </w:r>
    </w:p>
    <w:p w:rsidR="00000000" w:rsidDel="00000000" w:rsidP="00000000" w:rsidRDefault="00000000" w:rsidRPr="00000000" w14:paraId="00000046">
      <w:pPr>
        <w:numPr>
          <w:ilvl w:val="0"/>
          <w:numId w:val="17"/>
        </w:numPr>
        <w:spacing w:after="0" w:afterAutospacing="0" w:before="0" w:beforeAutospacing="0" w:line="390" w:lineRule="auto"/>
        <w:ind w:left="720" w:hanging="360"/>
      </w:pPr>
      <w:hyperlink r:id="rId105">
        <w:r w:rsidDel="00000000" w:rsidR="00000000" w:rsidRPr="00000000">
          <w:rPr>
            <w:color w:val="1155cc"/>
            <w:sz w:val="24"/>
            <w:szCs w:val="24"/>
            <w:rtl w:val="0"/>
          </w:rPr>
          <w:t xml:space="preserve">What are the limitations of UACR in different patient populations?</w:t>
        </w:r>
      </w:hyperlink>
      <w:r w:rsidDel="00000000" w:rsidR="00000000" w:rsidRPr="00000000">
        <w:rPr>
          <w:rtl w:val="0"/>
        </w:rPr>
      </w:r>
    </w:p>
    <w:p w:rsidR="00000000" w:rsidDel="00000000" w:rsidP="00000000" w:rsidRDefault="00000000" w:rsidRPr="00000000" w14:paraId="00000047">
      <w:pPr>
        <w:numPr>
          <w:ilvl w:val="0"/>
          <w:numId w:val="17"/>
        </w:numPr>
        <w:spacing w:after="0" w:afterAutospacing="0" w:before="0" w:beforeAutospacing="0" w:line="390" w:lineRule="auto"/>
        <w:ind w:left="720" w:hanging="360"/>
      </w:pPr>
      <w:hyperlink r:id="rId106">
        <w:r w:rsidDel="00000000" w:rsidR="00000000" w:rsidRPr="00000000">
          <w:rPr>
            <w:color w:val="1155cc"/>
            <w:sz w:val="24"/>
            <w:szCs w:val="24"/>
            <w:rtl w:val="0"/>
          </w:rPr>
          <w:t xml:space="preserve">How does UACR compare to other methods for detecting nephropathy?</w:t>
        </w:r>
      </w:hyperlink>
      <w:r w:rsidDel="00000000" w:rsidR="00000000" w:rsidRPr="00000000">
        <w:rPr>
          <w:rtl w:val="0"/>
        </w:rPr>
      </w:r>
    </w:p>
    <w:p w:rsidR="00000000" w:rsidDel="00000000" w:rsidP="00000000" w:rsidRDefault="00000000" w:rsidRPr="00000000" w14:paraId="00000048">
      <w:pPr>
        <w:numPr>
          <w:ilvl w:val="0"/>
          <w:numId w:val="17"/>
        </w:numPr>
        <w:spacing w:after="0" w:afterAutospacing="0" w:before="0" w:beforeAutospacing="0" w:line="390" w:lineRule="auto"/>
        <w:ind w:left="720" w:hanging="360"/>
      </w:pPr>
      <w:hyperlink r:id="rId107">
        <w:r w:rsidDel="00000000" w:rsidR="00000000" w:rsidRPr="00000000">
          <w:rPr>
            <w:color w:val="1155cc"/>
            <w:sz w:val="24"/>
            <w:szCs w:val="24"/>
            <w:rtl w:val="0"/>
          </w:rPr>
          <w:t xml:space="preserve">What is the recommended frequency for screening UACR in patients with diabetes?</w:t>
        </w:r>
      </w:hyperlink>
      <w:r w:rsidDel="00000000" w:rsidR="00000000" w:rsidRPr="00000000">
        <w:rPr>
          <w:rtl w:val="0"/>
        </w:rPr>
      </w:r>
    </w:p>
    <w:p w:rsidR="00000000" w:rsidDel="00000000" w:rsidP="00000000" w:rsidRDefault="00000000" w:rsidRPr="00000000" w14:paraId="00000049">
      <w:pPr>
        <w:numPr>
          <w:ilvl w:val="0"/>
          <w:numId w:val="17"/>
        </w:numPr>
        <w:spacing w:after="240" w:before="0" w:beforeAutospacing="0" w:line="390" w:lineRule="auto"/>
        <w:ind w:left="720" w:hanging="360"/>
      </w:pPr>
      <w:hyperlink r:id="rId108">
        <w:r w:rsidDel="00000000" w:rsidR="00000000" w:rsidRPr="00000000">
          <w:rPr>
            <w:color w:val="1155cc"/>
            <w:sz w:val="24"/>
            <w:szCs w:val="24"/>
            <w:rtl w:val="0"/>
          </w:rPr>
          <w:t xml:space="preserve">What interventions are recommended for patients with moderately increased albuminuria?</w:t>
        </w:r>
      </w:hyperlink>
      <w:r w:rsidDel="00000000" w:rsidR="00000000" w:rsidRPr="00000000">
        <w:rPr>
          <w:rtl w:val="0"/>
        </w:rPr>
      </w:r>
    </w:p>
    <w:p w:rsidR="00000000" w:rsidDel="00000000" w:rsidP="00000000" w:rsidRDefault="00000000" w:rsidRPr="00000000" w14:paraId="0000004A">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interpretation and follow-up of UACR results.</w:t>
      </w:r>
    </w:p>
    <w:p w:rsidR="00000000" w:rsidDel="00000000" w:rsidP="00000000" w:rsidRDefault="00000000" w:rsidRPr="00000000" w14:paraId="0000004B">
      <w:pPr>
        <w:pStyle w:val="Heading3"/>
        <w:keepNext w:val="0"/>
        <w:keepLines w:val="0"/>
        <w:spacing w:after="40" w:before="460" w:line="346.66666666666663" w:lineRule="auto"/>
        <w:rPr>
          <w:b w:val="1"/>
          <w:bCs w:val="1"/>
          <w:color w:val="232323"/>
          <w:sz w:val="27"/>
          <w:szCs w:val="27"/>
        </w:rPr>
      </w:pPr>
      <w:bookmarkStart w:colFirst="0" w:colLast="0" w:name="_48pdzw4ybfeh" w:id="11"/>
      <w:bookmarkEnd w:id="1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C">
      <w:pPr>
        <w:numPr>
          <w:ilvl w:val="0"/>
          <w:numId w:val="15"/>
        </w:numPr>
        <w:spacing w:after="0" w:afterAutospacing="0" w:before="240" w:lineRule="auto"/>
        <w:ind w:left="720" w:hanging="360"/>
      </w:pPr>
      <w:hyperlink r:id="rId109">
        <w:r w:rsidDel="00000000" w:rsidR="00000000" w:rsidRPr="00000000">
          <w:rPr>
            <w:color w:val="1155cc"/>
            <w:sz w:val="24"/>
            <w:szCs w:val="24"/>
            <w:rtl w:val="0"/>
          </w:rPr>
          <w:t xml:space="preserve">Overview of general medical care in nonpregnant adults with diabetes mellitus &gt; EVALUATION &gt; Diabetes-related complications &gt; Monitoring for increased urinary albumin excretion</w:t>
        </w:r>
      </w:hyperlink>
      <w:r w:rsidDel="00000000" w:rsidR="00000000" w:rsidRPr="00000000">
        <w:rPr>
          <w:rtl w:val="0"/>
        </w:rPr>
      </w:r>
    </w:p>
    <w:p w:rsidR="00000000" w:rsidDel="00000000" w:rsidP="00000000" w:rsidRDefault="00000000" w:rsidRPr="00000000" w14:paraId="0000004D">
      <w:pPr>
        <w:numPr>
          <w:ilvl w:val="0"/>
          <w:numId w:val="15"/>
        </w:numPr>
        <w:spacing w:after="0" w:afterAutospacing="0" w:before="0" w:beforeAutospacing="0" w:lineRule="auto"/>
        <w:ind w:left="720" w:hanging="360"/>
      </w:pPr>
      <w:hyperlink r:id="rId110">
        <w:r w:rsidDel="00000000" w:rsidR="00000000" w:rsidRPr="00000000">
          <w:rPr>
            <w:color w:val="1155cc"/>
            <w:sz w:val="24"/>
            <w:szCs w:val="24"/>
            <w:rtl w:val="0"/>
          </w:rPr>
          <w:t xml:space="preserve">Evaluation of proteinuria in adults &gt; DETECTION AND MEASUREMENT OF PROTEINURIA &gt; Quantitative measurement &gt; Urine albumin-to-creatinine ratio</w:t>
        </w:r>
      </w:hyperlink>
      <w:r w:rsidDel="00000000" w:rsidR="00000000" w:rsidRPr="00000000">
        <w:rPr>
          <w:rtl w:val="0"/>
        </w:rPr>
      </w:r>
    </w:p>
    <w:p w:rsidR="00000000" w:rsidDel="00000000" w:rsidP="00000000" w:rsidRDefault="00000000" w:rsidRPr="00000000" w14:paraId="0000004E">
      <w:pPr>
        <w:numPr>
          <w:ilvl w:val="0"/>
          <w:numId w:val="15"/>
        </w:numPr>
        <w:spacing w:after="0" w:afterAutospacing="0" w:before="0" w:beforeAutospacing="0" w:lineRule="auto"/>
        <w:ind w:left="720" w:hanging="360"/>
      </w:pPr>
      <w:hyperlink r:id="rId111">
        <w:r w:rsidDel="00000000" w:rsidR="00000000" w:rsidRPr="00000000">
          <w:rPr>
            <w:color w:val="1155cc"/>
            <w:sz w:val="24"/>
            <w:szCs w:val="24"/>
            <w:rtl w:val="0"/>
          </w:rPr>
          <w:t xml:space="preserve">Moderately increased albuminuria (microalbuminuria) in type 1 diabetes mellitus &gt; DETECTION &gt; Detection recommendation</w:t>
        </w:r>
      </w:hyperlink>
      <w:r w:rsidDel="00000000" w:rsidR="00000000" w:rsidRPr="00000000">
        <w:rPr>
          <w:rtl w:val="0"/>
        </w:rPr>
      </w:r>
    </w:p>
    <w:p w:rsidR="00000000" w:rsidDel="00000000" w:rsidP="00000000" w:rsidRDefault="00000000" w:rsidRPr="00000000" w14:paraId="0000004F">
      <w:pPr>
        <w:numPr>
          <w:ilvl w:val="0"/>
          <w:numId w:val="15"/>
        </w:numPr>
        <w:spacing w:after="0" w:afterAutospacing="0" w:before="0" w:beforeAutospacing="0" w:lineRule="auto"/>
        <w:ind w:left="720" w:hanging="360"/>
      </w:pPr>
      <w:hyperlink r:id="rId112">
        <w:r w:rsidDel="00000000" w:rsidR="00000000" w:rsidRPr="00000000">
          <w:rPr>
            <w:color w:val="1155cc"/>
            <w:sz w:val="24"/>
            <w:szCs w:val="24"/>
            <w:rtl w:val="0"/>
          </w:rPr>
          <w:t xml:space="preserve">Moderately increased albuminuria (microalbuminuria) in type 2 diabetes mellitus &gt; DETECTION &gt; Approach to detection</w:t>
        </w:r>
      </w:hyperlink>
      <w:r w:rsidDel="00000000" w:rsidR="00000000" w:rsidRPr="00000000">
        <w:rPr>
          <w:rtl w:val="0"/>
        </w:rPr>
      </w:r>
    </w:p>
    <w:p w:rsidR="00000000" w:rsidDel="00000000" w:rsidP="00000000" w:rsidRDefault="00000000" w:rsidRPr="00000000" w14:paraId="00000050">
      <w:pPr>
        <w:numPr>
          <w:ilvl w:val="0"/>
          <w:numId w:val="15"/>
        </w:numPr>
        <w:spacing w:after="0" w:afterAutospacing="0" w:before="0" w:beforeAutospacing="0" w:lineRule="auto"/>
        <w:ind w:left="720" w:hanging="360"/>
      </w:pPr>
      <w:hyperlink r:id="rId113">
        <w:r w:rsidDel="00000000" w:rsidR="00000000" w:rsidRPr="00000000">
          <w:rPr>
            <w:color w:val="1155cc"/>
            <w:sz w:val="24"/>
            <w:szCs w:val="24"/>
            <w:rtl w:val="0"/>
          </w:rPr>
          <w:t xml:space="preserve">Moderately increased albuminuria (microalbuminuria) and cardiovascular disease &gt; DETECTION &gt; Recommendations</w:t>
        </w:r>
      </w:hyperlink>
      <w:r w:rsidDel="00000000" w:rsidR="00000000" w:rsidRPr="00000000">
        <w:rPr>
          <w:rtl w:val="0"/>
        </w:rPr>
      </w:r>
    </w:p>
    <w:p w:rsidR="00000000" w:rsidDel="00000000" w:rsidP="00000000" w:rsidRDefault="00000000" w:rsidRPr="00000000" w14:paraId="00000051">
      <w:pPr>
        <w:numPr>
          <w:ilvl w:val="0"/>
          <w:numId w:val="15"/>
        </w:numPr>
        <w:spacing w:after="0" w:afterAutospacing="0" w:before="0" w:beforeAutospacing="0" w:lineRule="auto"/>
        <w:ind w:left="720" w:hanging="360"/>
      </w:pPr>
      <w:hyperlink r:id="rId114">
        <w:r w:rsidDel="00000000" w:rsidR="00000000" w:rsidRPr="00000000">
          <w:rPr>
            <w:color w:val="1155cc"/>
            <w:sz w:val="24"/>
            <w:szCs w:val="24"/>
            <w:rtl w:val="0"/>
          </w:rPr>
          <w:t xml:space="preserve">Moderately increased albuminuria (microalbuminuria) in type 1 diabetes mellitus &gt; DETECTION &gt; Urine albumin-to-creatinine ratio</w:t>
        </w:r>
      </w:hyperlink>
      <w:r w:rsidDel="00000000" w:rsidR="00000000" w:rsidRPr="00000000">
        <w:rPr>
          <w:rtl w:val="0"/>
        </w:rPr>
      </w:r>
    </w:p>
    <w:p w:rsidR="00000000" w:rsidDel="00000000" w:rsidP="00000000" w:rsidRDefault="00000000" w:rsidRPr="00000000" w14:paraId="00000052">
      <w:pPr>
        <w:numPr>
          <w:ilvl w:val="0"/>
          <w:numId w:val="15"/>
        </w:numPr>
        <w:spacing w:after="0" w:afterAutospacing="0" w:before="0" w:beforeAutospacing="0" w:lineRule="auto"/>
        <w:ind w:left="720" w:hanging="360"/>
      </w:pPr>
      <w:hyperlink r:id="rId115">
        <w:r w:rsidDel="00000000" w:rsidR="00000000" w:rsidRPr="00000000">
          <w:rPr>
            <w:color w:val="1155cc"/>
            <w:sz w:val="24"/>
            <w:szCs w:val="24"/>
            <w:rtl w:val="0"/>
          </w:rPr>
          <w:t xml:space="preserve">Moderately increased albuminuria (microalbuminuria) in type 2 diabetes mellitus &gt; DETECTION &gt; Urine albumin-to-creatinine ratio</w:t>
        </w:r>
      </w:hyperlink>
      <w:r w:rsidDel="00000000" w:rsidR="00000000" w:rsidRPr="00000000">
        <w:rPr>
          <w:rtl w:val="0"/>
        </w:rPr>
      </w:r>
    </w:p>
    <w:p w:rsidR="00000000" w:rsidDel="00000000" w:rsidP="00000000" w:rsidRDefault="00000000" w:rsidRPr="00000000" w14:paraId="00000053">
      <w:pPr>
        <w:numPr>
          <w:ilvl w:val="0"/>
          <w:numId w:val="15"/>
        </w:numPr>
        <w:spacing w:after="0" w:afterAutospacing="0" w:before="0" w:beforeAutospacing="0" w:lineRule="auto"/>
        <w:ind w:left="720" w:hanging="360"/>
      </w:pPr>
      <w:hyperlink r:id="rId116">
        <w:r w:rsidDel="00000000" w:rsidR="00000000" w:rsidRPr="00000000">
          <w:rPr>
            <w:color w:val="1155cc"/>
            <w:sz w:val="24"/>
            <w:szCs w:val="24"/>
            <w:rtl w:val="0"/>
          </w:rPr>
          <w:t xml:space="preserve">Moderately increased albuminuria (microalbuminuria) and cardiovascular disease &gt; DETECTION &gt; Albumin-to-creatinine ratio</w:t>
        </w:r>
      </w:hyperlink>
      <w:r w:rsidDel="00000000" w:rsidR="00000000" w:rsidRPr="00000000">
        <w:rPr>
          <w:rtl w:val="0"/>
        </w:rPr>
      </w:r>
    </w:p>
    <w:p w:rsidR="00000000" w:rsidDel="00000000" w:rsidP="00000000" w:rsidRDefault="00000000" w:rsidRPr="00000000" w14:paraId="00000054">
      <w:pPr>
        <w:numPr>
          <w:ilvl w:val="0"/>
          <w:numId w:val="15"/>
        </w:numPr>
        <w:spacing w:after="240" w:before="0" w:beforeAutospacing="0" w:lineRule="auto"/>
        <w:ind w:left="720" w:hanging="360"/>
      </w:pPr>
      <w:hyperlink r:id="rId117">
        <w:r w:rsidDel="00000000" w:rsidR="00000000" w:rsidRPr="00000000">
          <w:rPr>
            <w:color w:val="1155cc"/>
            <w:sz w:val="24"/>
            <w:szCs w:val="24"/>
            <w:rtl w:val="0"/>
          </w:rPr>
          <w:t xml:space="preserve">Overview of established risk factors for cardiovascular disease &gt; ESTABLISHED RISK FACTORS FOR ATHEROSCLEROTIC CVD &gt; Microalbuminuria</w:t>
        </w:r>
      </w:hyperlink>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i8waswbtepu"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59</w:t>
      </w:r>
      <w:r w:rsidDel="00000000" w:rsidR="00000000" w:rsidRPr="00000000">
        <w:rPr>
          <w:rtl w:val="0"/>
        </w:rPr>
      </w:r>
    </w:p>
    <w:p w:rsidR="00000000" w:rsidDel="00000000" w:rsidP="00000000" w:rsidRDefault="00000000" w:rsidRPr="00000000" w14:paraId="00000057">
      <w:pPr>
        <w:spacing w:line="390" w:lineRule="auto"/>
        <w:rPr>
          <w:color w:val="232323"/>
          <w:sz w:val="24"/>
          <w:szCs w:val="24"/>
        </w:rPr>
      </w:pPr>
      <w:r w:rsidDel="00000000" w:rsidR="00000000" w:rsidRPr="00000000">
        <w:rPr>
          <w:color w:val="232323"/>
          <w:sz w:val="24"/>
          <w:szCs w:val="24"/>
          <w:rtl w:val="0"/>
        </w:rPr>
        <w:t xml:space="preserve">ASSUMPTIONS: You are asking about the recommended surveillance schedule for papillary thyroid carcinoma in adults after initial treatment, including surgery and any adjuvant therapy. I am assuming the patient has completed initial therapy and is not a pediatric patient or pregnant.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line="390" w:lineRule="auto"/>
        <w:rPr>
          <w:color w:val="232323"/>
          <w:sz w:val="24"/>
          <w:szCs w:val="24"/>
        </w:rPr>
      </w:pPr>
      <w:r w:rsidDel="00000000" w:rsidR="00000000" w:rsidRPr="00000000">
        <w:rPr>
          <w:color w:val="232323"/>
          <w:sz w:val="24"/>
          <w:szCs w:val="24"/>
          <w:rtl w:val="0"/>
        </w:rPr>
        <w:t xml:space="preserve">Surveillance for papillary thyroid carcinoma is guided by initial risk stratification, response to therapy, and time since treatment. The approach is dynamic and individualized, but the following summarizes UpToDate guidance:</w:t>
      </w:r>
    </w:p>
    <w:p w:rsidR="00000000" w:rsidDel="00000000" w:rsidP="00000000" w:rsidRDefault="00000000" w:rsidRPr="00000000" w14:paraId="0000005A">
      <w:pPr>
        <w:pStyle w:val="Heading3"/>
        <w:keepNext w:val="0"/>
        <w:keepLines w:val="0"/>
        <w:spacing w:after="40" w:before="460" w:line="346.66666666666663" w:lineRule="auto"/>
        <w:rPr>
          <w:b w:val="1"/>
          <w:bCs w:val="1"/>
          <w:color w:val="232323"/>
          <w:sz w:val="27"/>
          <w:szCs w:val="27"/>
        </w:rPr>
      </w:pPr>
      <w:bookmarkStart w:colFirst="0" w:colLast="0" w:name="_edd43hj96elk" w:id="13"/>
      <w:bookmarkEnd w:id="13"/>
      <w:r w:rsidDel="00000000" w:rsidR="00000000" w:rsidRPr="00000000">
        <w:rPr>
          <w:b w:val="1"/>
          <w:bCs w:val="1"/>
          <w:color w:val="232323"/>
          <w:sz w:val="27"/>
          <w:szCs w:val="27"/>
          <w:rtl w:val="0"/>
        </w:rPr>
        <w:t xml:space="preserve">Initial Postoperative Surveillance</w:t>
      </w:r>
    </w:p>
    <w:p w:rsidR="00000000" w:rsidDel="00000000" w:rsidP="00000000" w:rsidRDefault="00000000" w:rsidRPr="00000000" w14:paraId="0000005B">
      <w:pPr>
        <w:numPr>
          <w:ilvl w:val="0"/>
          <w:numId w:val="5"/>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First 6–12 months: Monitor with serum thyroglobulin (Tg), thyroglobulin antibodies, and neck ultrasound. Additional imaging (radioiodine scan, MRI, CT, FDG-PET) may be indicated for intermediate-high and high-risk patients or if there is biochemical evidence of disease </w:t>
      </w:r>
      <w:hyperlink r:id="rId118">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C">
      <w:pPr>
        <w:numPr>
          <w:ilvl w:val="0"/>
          <w:numId w:val="5"/>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TSH and free T4: Check TSH (with reflex free T4 if abnormal) 4–6 weeks after starting or adjusting </w:t>
      </w:r>
      <w:hyperlink r:id="rId119">
        <w:r w:rsidDel="00000000" w:rsidR="00000000" w:rsidRPr="00000000">
          <w:rPr>
            <w:color w:val="232323"/>
            <w:sz w:val="24"/>
            <w:szCs w:val="24"/>
            <w:rtl w:val="0"/>
          </w:rPr>
          <w:t xml:space="preserve">levothyroxine</w:t>
        </w:r>
      </w:hyperlink>
      <w:r w:rsidDel="00000000" w:rsidR="00000000" w:rsidRPr="00000000">
        <w:rPr>
          <w:color w:val="232323"/>
          <w:sz w:val="24"/>
          <w:szCs w:val="24"/>
          <w:rtl w:val="0"/>
        </w:rPr>
        <w:t xml:space="preserve"> to achieve individualized TSH goals based on risk of recurrence </w:t>
      </w:r>
      <w:hyperlink r:id="rId120">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D">
      <w:pPr>
        <w:pStyle w:val="Heading3"/>
        <w:keepNext w:val="0"/>
        <w:keepLines w:val="0"/>
        <w:spacing w:after="40" w:before="460" w:line="346.66666666666663" w:lineRule="auto"/>
        <w:rPr>
          <w:b w:val="1"/>
          <w:bCs w:val="1"/>
          <w:color w:val="232323"/>
          <w:sz w:val="27"/>
          <w:szCs w:val="27"/>
        </w:rPr>
      </w:pPr>
      <w:bookmarkStart w:colFirst="0" w:colLast="0" w:name="_up0eybjt6n4r" w:id="14"/>
      <w:bookmarkEnd w:id="14"/>
      <w:r w:rsidDel="00000000" w:rsidR="00000000" w:rsidRPr="00000000">
        <w:rPr>
          <w:b w:val="1"/>
          <w:bCs w:val="1"/>
          <w:color w:val="232323"/>
          <w:sz w:val="27"/>
          <w:szCs w:val="27"/>
          <w:rtl w:val="0"/>
        </w:rPr>
        <w:t xml:space="preserve">Ongoing Surveillance Based on Response to Therapy</w:t>
      </w:r>
    </w:p>
    <w:p w:rsidR="00000000" w:rsidDel="00000000" w:rsidP="00000000" w:rsidRDefault="00000000" w:rsidRPr="00000000" w14:paraId="0000005E">
      <w:pPr>
        <w:numPr>
          <w:ilvl w:val="0"/>
          <w:numId w:val="11"/>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Excellent response (no clinical, biochemical, or structural evidence of disease):</w:t>
      </w:r>
    </w:p>
    <w:p w:rsidR="00000000" w:rsidDel="00000000" w:rsidP="00000000" w:rsidRDefault="00000000" w:rsidRPr="00000000" w14:paraId="0000005F">
      <w:pPr>
        <w:numPr>
          <w:ilvl w:val="1"/>
          <w:numId w:val="11"/>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For ATA low-risk patients, obtain Tg and Tg antibodies every 1–2 years and neck ultrasound every 1–3 years for the first 5–8 years. If excellent response is sustained, de-escalate surveillance: neck ultrasound can be discontinued after 8 years, and biochemical testing after 10–15 years. After 10–15 years of excellent response, routine thyroid cancer-specific surveillance is no longer required beyond history and physical exam </w:t>
      </w:r>
      <w:hyperlink r:id="rId121">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 See </w:t>
      </w:r>
      <w:hyperlink r:id="rId122">
        <w:r w:rsidDel="00000000" w:rsidR="00000000" w:rsidRPr="00000000">
          <w:rPr>
            <w:color w:val="232323"/>
            <w:sz w:val="24"/>
            <w:szCs w:val="24"/>
            <w:rtl w:val="0"/>
          </w:rPr>
          <w:t xml:space="preserve"> de-escalation of follow-up in ATA low-risk DTC</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1"/>
          <w:numId w:val="11"/>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For ATA low-intermediate or intermediate-high risk patients with excellent response, similar surveillance intervals apply for the first 5–8 years </w:t>
      </w:r>
      <w:hyperlink r:id="rId123">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1"/>
          <w:numId w:val="11"/>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For ATA high-risk patients with excellent response, maintain more frequent surveillance and a lower TSH goal for up to 5 years </w:t>
      </w:r>
      <w:hyperlink r:id="rId124">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1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Indeterminate response (nonspecific findings):</w:t>
      </w:r>
    </w:p>
    <w:p w:rsidR="00000000" w:rsidDel="00000000" w:rsidP="00000000" w:rsidRDefault="00000000" w:rsidRPr="00000000" w14:paraId="00000063">
      <w:pPr>
        <w:numPr>
          <w:ilvl w:val="1"/>
          <w:numId w:val="11"/>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Continue monitoring with Tg/Tg antibodies and imaging, frequency and type based on specific findings </w:t>
      </w:r>
      <w:hyperlink r:id="rId125">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1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Biochemical incomplete response (abnormal Tg or rising Tg antibodies without localizable disease):</w:t>
      </w:r>
    </w:p>
    <w:p w:rsidR="00000000" w:rsidDel="00000000" w:rsidP="00000000" w:rsidRDefault="00000000" w:rsidRPr="00000000" w14:paraId="00000065">
      <w:pPr>
        <w:numPr>
          <w:ilvl w:val="1"/>
          <w:numId w:val="11"/>
        </w:numPr>
        <w:spacing w:after="0" w:afterAutospacing="0" w:before="0" w:beforeAutospacing="0" w:line="390" w:lineRule="auto"/>
        <w:ind w:left="1440" w:hanging="360"/>
        <w:rPr>
          <w:color w:val="232323"/>
          <w:sz w:val="24"/>
          <w:szCs w:val="24"/>
        </w:rPr>
      </w:pPr>
      <w:r w:rsidDel="00000000" w:rsidR="00000000" w:rsidRPr="00000000">
        <w:rPr>
          <w:color w:val="232323"/>
          <w:sz w:val="24"/>
          <w:szCs w:val="24"/>
          <w:rtl w:val="0"/>
        </w:rPr>
        <w:t xml:space="preserve">Continue TSH suppressive therapy and ultrasound monitoring. Frequency depends on magnitude and trend of Tg/Tg antibody levels </w:t>
      </w:r>
      <w:hyperlink r:id="rId126">
        <w:r w:rsidDel="00000000" w:rsidR="00000000" w:rsidRPr="00000000">
          <w:rPr>
            <w:color w:val="232323"/>
            <w:sz w:val="24"/>
            <w:szCs w:val="24"/>
            <w:rtl w:val="0"/>
          </w:rPr>
          <w:t xml:space="preserve">[4]</w:t>
        </w:r>
      </w:hyperlink>
      <w:hyperlink r:id="rId127">
        <w:r w:rsidDel="00000000" w:rsidR="00000000" w:rsidRPr="00000000">
          <w:rPr>
            <w:color w:val="232323"/>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66">
      <w:pPr>
        <w:numPr>
          <w:ilvl w:val="1"/>
          <w:numId w:val="11"/>
        </w:numPr>
        <w:spacing w:after="0" w:afterAutospacing="0" w:before="0" w:beforeAutospacing="0" w:line="390" w:lineRule="auto"/>
        <w:ind w:left="1440" w:hanging="360"/>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If nonstimulated Tg ≥10 ng/mL or rising, obtain additional imaging to identify structural disease </w:t>
      </w:r>
      <w:hyperlink r:id="rId128">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7">
      <w:pPr>
        <w:numPr>
          <w:ilvl w:val="0"/>
          <w:numId w:val="11"/>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Structural incomplete response (evidence of disease):</w:t>
      </w:r>
    </w:p>
    <w:p w:rsidR="00000000" w:rsidDel="00000000" w:rsidP="00000000" w:rsidRDefault="00000000" w:rsidRPr="00000000" w14:paraId="00000068">
      <w:pPr>
        <w:numPr>
          <w:ilvl w:val="1"/>
          <w:numId w:val="11"/>
        </w:numPr>
        <w:spacing w:after="240" w:before="0" w:beforeAutospacing="0" w:line="390" w:lineRule="auto"/>
        <w:ind w:left="1440" w:hanging="360"/>
        <w:rPr>
          <w:color w:val="232323"/>
          <w:sz w:val="24"/>
          <w:szCs w:val="24"/>
        </w:rPr>
      </w:pPr>
      <w:r w:rsidDel="00000000" w:rsidR="00000000" w:rsidRPr="00000000">
        <w:rPr>
          <w:color w:val="232323"/>
          <w:sz w:val="24"/>
          <w:szCs w:val="24"/>
          <w:rtl w:val="0"/>
        </w:rPr>
        <w:t xml:space="preserve">Imaging of known sites of disease (neck ultrasound, CT, MRI) every 6–12 months depending on progression rate. FDG-PET may be used if Tg is rising without corresponding structural progression </w:t>
      </w:r>
      <w:hyperlink r:id="rId129">
        <w:r w:rsidDel="00000000" w:rsidR="00000000" w:rsidRPr="00000000">
          <w:rPr>
            <w:color w:val="232323"/>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9">
      <w:pPr>
        <w:pStyle w:val="Heading3"/>
        <w:keepNext w:val="0"/>
        <w:keepLines w:val="0"/>
        <w:spacing w:after="40" w:before="460" w:line="346.66666666666663" w:lineRule="auto"/>
        <w:rPr>
          <w:b w:val="1"/>
          <w:bCs w:val="1"/>
          <w:color w:val="232323"/>
          <w:sz w:val="27"/>
          <w:szCs w:val="27"/>
        </w:rPr>
      </w:pPr>
      <w:bookmarkStart w:colFirst="0" w:colLast="0" w:name="_mpgogeioq8x6" w:id="15"/>
      <w:bookmarkEnd w:id="15"/>
      <w:r w:rsidDel="00000000" w:rsidR="00000000" w:rsidRPr="00000000">
        <w:rPr>
          <w:b w:val="1"/>
          <w:bCs w:val="1"/>
          <w:color w:val="232323"/>
          <w:sz w:val="27"/>
          <w:szCs w:val="27"/>
          <w:rtl w:val="0"/>
        </w:rPr>
        <w:t xml:space="preserve">Dynamic Risk Stratification</w:t>
      </w:r>
    </w:p>
    <w:p w:rsidR="00000000" w:rsidDel="00000000" w:rsidP="00000000" w:rsidRDefault="00000000" w:rsidRPr="00000000" w14:paraId="0000006A">
      <w:pPr>
        <w:numPr>
          <w:ilvl w:val="0"/>
          <w:numId w:val="19"/>
        </w:numPr>
        <w:spacing w:after="240" w:before="220" w:line="390" w:lineRule="auto"/>
        <w:ind w:left="720" w:hanging="360"/>
        <w:rPr>
          <w:color w:val="232323"/>
          <w:sz w:val="24"/>
          <w:szCs w:val="24"/>
        </w:rPr>
      </w:pPr>
      <w:r w:rsidDel="00000000" w:rsidR="00000000" w:rsidRPr="00000000">
        <w:rPr>
          <w:color w:val="232323"/>
          <w:sz w:val="24"/>
          <w:szCs w:val="24"/>
          <w:rtl w:val="0"/>
        </w:rPr>
        <w:t xml:space="preserve">At each follow-up, reclassify patients based on response to therapy (excellent, indeterminate, biochemical incomplete, or structural incomplete) to tailor ongoing surveillance and management </w:t>
      </w:r>
      <w:hyperlink r:id="rId130">
        <w:r w:rsidDel="00000000" w:rsidR="00000000" w:rsidRPr="00000000">
          <w:rPr>
            <w:color w:val="232323"/>
            <w:sz w:val="24"/>
            <w:szCs w:val="24"/>
            <w:rtl w:val="0"/>
          </w:rPr>
          <w:t xml:space="preserve">[8]</w:t>
        </w:r>
      </w:hyperlink>
      <w:hyperlink r:id="rId131">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 See </w:t>
      </w:r>
      <w:hyperlink r:id="rId132">
        <w:r w:rsidDel="00000000" w:rsidR="00000000" w:rsidRPr="00000000">
          <w:rPr>
            <w:color w:val="232323"/>
            <w:sz w:val="24"/>
            <w:szCs w:val="24"/>
            <w:rtl w:val="0"/>
          </w:rPr>
          <w:t xml:space="preserve"> dynamic risk stratification</w:t>
        </w:r>
      </w:hyperlink>
      <w:r w:rsidDel="00000000" w:rsidR="00000000" w:rsidRPr="00000000">
        <w:rPr>
          <w:color w:val="232323"/>
          <w:sz w:val="24"/>
          <w:szCs w:val="24"/>
          <w:rtl w:val="0"/>
        </w:rPr>
        <w:t xml:space="preserve"> and </w:t>
      </w:r>
      <w:hyperlink r:id="rId133">
        <w:r w:rsidDel="00000000" w:rsidR="00000000" w:rsidRPr="00000000">
          <w:rPr>
            <w:color w:val="232323"/>
            <w:sz w:val="24"/>
            <w:szCs w:val="24"/>
            <w:rtl w:val="0"/>
          </w:rPr>
          <w:t xml:space="preserve"> response criteria after initial therapy</w:t>
        </w:r>
      </w:hyperlink>
      <w:r w:rsidDel="00000000" w:rsidR="00000000" w:rsidRPr="00000000">
        <w:rPr>
          <w:color w:val="232323"/>
          <w:sz w:val="24"/>
          <w:szCs w:val="24"/>
          <w:rtl w:val="0"/>
        </w:rPr>
        <w:t xml:space="preserve">.</w:t>
      </w:r>
    </w:p>
    <w:p w:rsidR="00000000" w:rsidDel="00000000" w:rsidP="00000000" w:rsidRDefault="00000000" w:rsidRPr="00000000" w14:paraId="0000006B">
      <w:pPr>
        <w:pStyle w:val="Heading3"/>
        <w:keepNext w:val="0"/>
        <w:keepLines w:val="0"/>
        <w:spacing w:after="40" w:before="460" w:line="346.66666666666663" w:lineRule="auto"/>
        <w:rPr>
          <w:b w:val="1"/>
          <w:bCs w:val="1"/>
          <w:color w:val="232323"/>
          <w:sz w:val="27"/>
          <w:szCs w:val="27"/>
        </w:rPr>
      </w:pPr>
      <w:bookmarkStart w:colFirst="0" w:colLast="0" w:name="_f1o8q6c88k9p" w:id="16"/>
      <w:bookmarkEnd w:id="16"/>
      <w:r w:rsidDel="00000000" w:rsidR="00000000" w:rsidRPr="00000000">
        <w:rPr>
          <w:b w:val="1"/>
          <w:bCs w:val="1"/>
          <w:color w:val="232323"/>
          <w:sz w:val="27"/>
          <w:szCs w:val="27"/>
          <w:rtl w:val="0"/>
        </w:rPr>
        <w:t xml:space="preserve">Key Surveillance Intervals and De-escalation</w:t>
      </w:r>
    </w:p>
    <w:p w:rsidR="00000000" w:rsidDel="00000000" w:rsidP="00000000" w:rsidRDefault="00000000" w:rsidRPr="00000000" w14:paraId="0000006C">
      <w:pPr>
        <w:numPr>
          <w:ilvl w:val="0"/>
          <w:numId w:val="8"/>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For patients with sustained excellent response and low risk, surveillance can be de-escalated after 8–15 years </w:t>
      </w:r>
      <w:hyperlink r:id="rId134">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D">
      <w:pPr>
        <w:numPr>
          <w:ilvl w:val="0"/>
          <w:numId w:val="8"/>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Most recurrences occur within the first 5 years, but late recurrences can occur, especially in papillary cancer </w:t>
      </w:r>
      <w:hyperlink r:id="rId135">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E">
      <w:pPr>
        <w:pStyle w:val="Heading3"/>
        <w:keepNext w:val="0"/>
        <w:keepLines w:val="0"/>
        <w:spacing w:after="40" w:before="460" w:line="346.66666666666663" w:lineRule="auto"/>
        <w:rPr>
          <w:b w:val="1"/>
          <w:bCs w:val="1"/>
          <w:color w:val="232323"/>
          <w:sz w:val="27"/>
          <w:szCs w:val="27"/>
        </w:rPr>
      </w:pPr>
      <w:bookmarkStart w:colFirst="0" w:colLast="0" w:name="_ve5aselb75r2" w:id="17"/>
      <w:bookmarkEnd w:id="17"/>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6F">
      <w:pPr>
        <w:numPr>
          <w:ilvl w:val="0"/>
          <w:numId w:val="6"/>
        </w:numPr>
        <w:spacing w:after="0" w:afterAutospacing="0" w:before="220" w:line="390" w:lineRule="auto"/>
        <w:ind w:left="720" w:hanging="360"/>
        <w:rPr>
          <w:sz w:val="24"/>
          <w:szCs w:val="24"/>
        </w:rPr>
      </w:pPr>
      <w:hyperlink r:id="rId136">
        <w:r w:rsidDel="00000000" w:rsidR="00000000" w:rsidRPr="00000000">
          <w:rPr>
            <w:color w:val="232323"/>
            <w:sz w:val="24"/>
            <w:szCs w:val="24"/>
            <w:rtl w:val="0"/>
          </w:rPr>
          <w:t xml:space="preserve"> Differentiated thyroid cancer: Ongoing monitoring following assessment of response to initial therapy</w:t>
        </w:r>
      </w:hyperlink>
      <w:r w:rsidDel="00000000" w:rsidR="00000000" w:rsidRPr="00000000">
        <w:rPr>
          <w:rtl w:val="0"/>
        </w:rPr>
      </w:r>
    </w:p>
    <w:p w:rsidR="00000000" w:rsidDel="00000000" w:rsidP="00000000" w:rsidRDefault="00000000" w:rsidRPr="00000000" w14:paraId="00000070">
      <w:pPr>
        <w:numPr>
          <w:ilvl w:val="0"/>
          <w:numId w:val="6"/>
        </w:numPr>
        <w:spacing w:after="0" w:afterAutospacing="0" w:before="0" w:beforeAutospacing="0" w:line="390" w:lineRule="auto"/>
        <w:ind w:left="720" w:hanging="360"/>
        <w:rPr>
          <w:sz w:val="24"/>
          <w:szCs w:val="24"/>
        </w:rPr>
      </w:pPr>
      <w:hyperlink r:id="rId137">
        <w:r w:rsidDel="00000000" w:rsidR="00000000" w:rsidRPr="00000000">
          <w:rPr>
            <w:color w:val="232323"/>
            <w:sz w:val="24"/>
            <w:szCs w:val="24"/>
            <w:rtl w:val="0"/>
          </w:rPr>
          <w:t xml:space="preserve"> De-escalation of follow-up in ATA low-risk DTC with continued excellent response to therapy</w:t>
        </w:r>
      </w:hyperlink>
      <w:r w:rsidDel="00000000" w:rsidR="00000000" w:rsidRPr="00000000">
        <w:rPr>
          <w:rtl w:val="0"/>
        </w:rPr>
      </w:r>
    </w:p>
    <w:p w:rsidR="00000000" w:rsidDel="00000000" w:rsidP="00000000" w:rsidRDefault="00000000" w:rsidRPr="00000000" w14:paraId="00000071">
      <w:pPr>
        <w:numPr>
          <w:ilvl w:val="0"/>
          <w:numId w:val="6"/>
        </w:numPr>
        <w:spacing w:after="0" w:afterAutospacing="0" w:before="0" w:beforeAutospacing="0" w:line="390" w:lineRule="auto"/>
        <w:ind w:left="720" w:hanging="360"/>
        <w:rPr>
          <w:sz w:val="24"/>
          <w:szCs w:val="24"/>
        </w:rPr>
      </w:pPr>
      <w:hyperlink r:id="rId138">
        <w:r w:rsidDel="00000000" w:rsidR="00000000" w:rsidRPr="00000000">
          <w:rPr>
            <w:color w:val="232323"/>
            <w:sz w:val="24"/>
            <w:szCs w:val="24"/>
            <w:rtl w:val="0"/>
          </w:rPr>
          <w:t xml:space="preserve"> Dynamic risk stratification</w:t>
        </w:r>
      </w:hyperlink>
      <w:r w:rsidDel="00000000" w:rsidR="00000000" w:rsidRPr="00000000">
        <w:rPr>
          <w:rtl w:val="0"/>
        </w:rPr>
      </w:r>
    </w:p>
    <w:p w:rsidR="00000000" w:rsidDel="00000000" w:rsidP="00000000" w:rsidRDefault="00000000" w:rsidRPr="00000000" w14:paraId="00000072">
      <w:pPr>
        <w:numPr>
          <w:ilvl w:val="0"/>
          <w:numId w:val="6"/>
        </w:numPr>
        <w:spacing w:after="240" w:before="0" w:beforeAutospacing="0" w:line="390" w:lineRule="auto"/>
        <w:ind w:left="720" w:hanging="360"/>
        <w:rPr>
          <w:sz w:val="24"/>
          <w:szCs w:val="24"/>
        </w:rPr>
      </w:pPr>
      <w:hyperlink r:id="rId139">
        <w:r w:rsidDel="00000000" w:rsidR="00000000" w:rsidRPr="00000000">
          <w:rPr>
            <w:color w:val="232323"/>
            <w:sz w:val="24"/>
            <w:szCs w:val="24"/>
            <w:rtl w:val="0"/>
          </w:rPr>
          <w:t xml:space="preserve"> Response criteria after initial therapy based on type of intervention</w:t>
        </w:r>
      </w:hyperlink>
      <w:r w:rsidDel="00000000" w:rsidR="00000000" w:rsidRPr="00000000">
        <w:rPr>
          <w:rtl w:val="0"/>
        </w:rPr>
      </w:r>
    </w:p>
    <w:p w:rsidR="00000000" w:rsidDel="00000000" w:rsidP="00000000" w:rsidRDefault="00000000" w:rsidRPr="00000000" w14:paraId="00000073">
      <w:pPr>
        <w:pStyle w:val="Heading3"/>
        <w:keepNext w:val="0"/>
        <w:keepLines w:val="0"/>
        <w:spacing w:after="40" w:before="460" w:line="346.66666666666663" w:lineRule="auto"/>
        <w:rPr>
          <w:b w:val="1"/>
          <w:bCs w:val="1"/>
          <w:color w:val="232323"/>
          <w:sz w:val="27"/>
          <w:szCs w:val="27"/>
        </w:rPr>
      </w:pPr>
      <w:bookmarkStart w:colFirst="0" w:colLast="0" w:name="_5imle3i8ajkc" w:id="18"/>
      <w:bookmarkEnd w:id="18"/>
      <w:r w:rsidDel="00000000" w:rsidR="00000000" w:rsidRPr="00000000">
        <w:rPr>
          <w:b w:val="1"/>
          <w:bCs w:val="1"/>
          <w:color w:val="232323"/>
          <w:sz w:val="27"/>
          <w:szCs w:val="27"/>
          <w:rtl w:val="0"/>
        </w:rPr>
        <w:t xml:space="preserve">Key Points</w:t>
      </w:r>
    </w:p>
    <w:p w:rsidR="00000000" w:rsidDel="00000000" w:rsidP="00000000" w:rsidRDefault="00000000" w:rsidRPr="00000000" w14:paraId="00000074">
      <w:pPr>
        <w:numPr>
          <w:ilvl w:val="0"/>
          <w:numId w:val="4"/>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Surveillance is individualized based on risk and response to therapy, with more intensive monitoring in the first 5–8 years and de-escalation for sustained excellent response </w:t>
      </w:r>
      <w:hyperlink r:id="rId140">
        <w:r w:rsidDel="00000000" w:rsidR="00000000" w:rsidRPr="00000000">
          <w:rPr>
            <w:color w:val="232323"/>
            <w:sz w:val="24"/>
            <w:szCs w:val="24"/>
            <w:rtl w:val="0"/>
          </w:rPr>
          <w:t xml:space="preserve">[2]</w:t>
        </w:r>
      </w:hyperlink>
      <w:hyperlink r:id="rId141">
        <w:r w:rsidDel="00000000" w:rsidR="00000000" w:rsidRPr="00000000">
          <w:rPr>
            <w:color w:val="232323"/>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75">
      <w:pPr>
        <w:numPr>
          <w:ilvl w:val="0"/>
          <w:numId w:val="4"/>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Neck ultrasound and serum Tg/Tg antibodies are the mainstays of surveillance; additional imaging is reserved for higher-risk or incomplete response </w:t>
      </w:r>
      <w:hyperlink r:id="rId142">
        <w:r w:rsidDel="00000000" w:rsidR="00000000" w:rsidRPr="00000000">
          <w:rPr>
            <w:color w:val="232323"/>
            <w:sz w:val="24"/>
            <w:szCs w:val="24"/>
            <w:rtl w:val="0"/>
          </w:rPr>
          <w:t xml:space="preserve">[1]</w:t>
        </w:r>
      </w:hyperlink>
      <w:hyperlink r:id="rId143">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6">
      <w:pPr>
        <w:numPr>
          <w:ilvl w:val="0"/>
          <w:numId w:val="4"/>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Dynamic risk stratification guides changes in surveillance frequency and intensity over time </w:t>
      </w:r>
      <w:hyperlink r:id="rId144">
        <w:r w:rsidDel="00000000" w:rsidR="00000000" w:rsidRPr="00000000">
          <w:rPr>
            <w:color w:val="232323"/>
            <w:sz w:val="24"/>
            <w:szCs w:val="24"/>
            <w:rtl w:val="0"/>
          </w:rPr>
          <w:t xml:space="preserve">[8]</w:t>
        </w:r>
      </w:hyperlink>
      <w:hyperlink r:id="rId145">
        <w:r w:rsidDel="00000000" w:rsidR="00000000" w:rsidRPr="00000000">
          <w:rPr>
            <w:color w:val="232323"/>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77">
      <w:pPr>
        <w:pStyle w:val="Heading3"/>
        <w:keepNext w:val="0"/>
        <w:keepLines w:val="0"/>
        <w:spacing w:after="40" w:before="460" w:line="346.66666666666663" w:lineRule="auto"/>
        <w:rPr>
          <w:b w:val="1"/>
          <w:bCs w:val="1"/>
          <w:color w:val="232323"/>
          <w:sz w:val="27"/>
          <w:szCs w:val="27"/>
        </w:rPr>
      </w:pPr>
      <w:bookmarkStart w:colFirst="0" w:colLast="0" w:name="_8boawgga4m3s"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8">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9">
      <w:pPr>
        <w:numPr>
          <w:ilvl w:val="0"/>
          <w:numId w:val="16"/>
        </w:numPr>
        <w:spacing w:after="0" w:afterAutospacing="0" w:before="220" w:line="390" w:lineRule="auto"/>
        <w:ind w:left="720" w:hanging="360"/>
        <w:rPr>
          <w:color w:val="4a86e8"/>
        </w:rPr>
      </w:pPr>
      <w:hyperlink r:id="rId146">
        <w:r w:rsidDel="00000000" w:rsidR="00000000" w:rsidRPr="00000000">
          <w:rPr>
            <w:color w:val="4a86e8"/>
            <w:sz w:val="24"/>
            <w:szCs w:val="24"/>
            <w:rtl w:val="0"/>
          </w:rPr>
          <w:t xml:space="preserve">What is the surveillance approach for pediatric patients with papillary thyroid carcinoma?</w:t>
        </w:r>
      </w:hyperlink>
      <w:r w:rsidDel="00000000" w:rsidR="00000000" w:rsidRPr="00000000">
        <w:rPr>
          <w:rtl w:val="0"/>
        </w:rPr>
      </w:r>
    </w:p>
    <w:p w:rsidR="00000000" w:rsidDel="00000000" w:rsidP="00000000" w:rsidRDefault="00000000" w:rsidRPr="00000000" w14:paraId="0000007A">
      <w:pPr>
        <w:numPr>
          <w:ilvl w:val="0"/>
          <w:numId w:val="16"/>
        </w:numPr>
        <w:spacing w:after="0" w:afterAutospacing="0" w:before="0" w:beforeAutospacing="0" w:line="390" w:lineRule="auto"/>
        <w:ind w:left="720" w:hanging="360"/>
        <w:rPr>
          <w:color w:val="4a86e8"/>
        </w:rPr>
      </w:pPr>
      <w:hyperlink r:id="rId147">
        <w:r w:rsidDel="00000000" w:rsidR="00000000" w:rsidRPr="00000000">
          <w:rPr>
            <w:color w:val="4a86e8"/>
            <w:sz w:val="24"/>
            <w:szCs w:val="24"/>
            <w:rtl w:val="0"/>
          </w:rPr>
          <w:t xml:space="preserve">How does surveillance differ for patients with high-risk or incomplete response?</w:t>
        </w:r>
      </w:hyperlink>
      <w:r w:rsidDel="00000000" w:rsidR="00000000" w:rsidRPr="00000000">
        <w:rPr>
          <w:rtl w:val="0"/>
        </w:rPr>
      </w:r>
    </w:p>
    <w:p w:rsidR="00000000" w:rsidDel="00000000" w:rsidP="00000000" w:rsidRDefault="00000000" w:rsidRPr="00000000" w14:paraId="0000007B">
      <w:pPr>
        <w:numPr>
          <w:ilvl w:val="0"/>
          <w:numId w:val="16"/>
        </w:numPr>
        <w:spacing w:after="0" w:afterAutospacing="0" w:before="0" w:beforeAutospacing="0" w:line="390" w:lineRule="auto"/>
        <w:ind w:left="720" w:hanging="360"/>
        <w:rPr>
          <w:color w:val="4a86e8"/>
        </w:rPr>
      </w:pPr>
      <w:hyperlink r:id="rId148">
        <w:r w:rsidDel="00000000" w:rsidR="00000000" w:rsidRPr="00000000">
          <w:rPr>
            <w:color w:val="4a86e8"/>
            <w:sz w:val="24"/>
            <w:szCs w:val="24"/>
            <w:rtl w:val="0"/>
          </w:rPr>
          <w:t xml:space="preserve">What is the role of molecular markers in surveillance?</w:t>
        </w:r>
      </w:hyperlink>
      <w:r w:rsidDel="00000000" w:rsidR="00000000" w:rsidRPr="00000000">
        <w:rPr>
          <w:rtl w:val="0"/>
        </w:rPr>
      </w:r>
    </w:p>
    <w:p w:rsidR="00000000" w:rsidDel="00000000" w:rsidP="00000000" w:rsidRDefault="00000000" w:rsidRPr="00000000" w14:paraId="0000007C">
      <w:pPr>
        <w:numPr>
          <w:ilvl w:val="0"/>
          <w:numId w:val="16"/>
        </w:numPr>
        <w:spacing w:after="0" w:afterAutospacing="0" w:before="0" w:beforeAutospacing="0" w:line="390" w:lineRule="auto"/>
        <w:ind w:left="720" w:hanging="360"/>
        <w:rPr>
          <w:color w:val="4a86e8"/>
        </w:rPr>
      </w:pPr>
      <w:hyperlink r:id="rId149">
        <w:r w:rsidDel="00000000" w:rsidR="00000000" w:rsidRPr="00000000">
          <w:rPr>
            <w:color w:val="4a86e8"/>
            <w:sz w:val="24"/>
            <w:szCs w:val="24"/>
            <w:rtl w:val="0"/>
          </w:rPr>
          <w:t xml:space="preserve">How should surveillance be modified for patients with comorbidities or older age?</w:t>
        </w:r>
      </w:hyperlink>
      <w:r w:rsidDel="00000000" w:rsidR="00000000" w:rsidRPr="00000000">
        <w:rPr>
          <w:rtl w:val="0"/>
        </w:rPr>
      </w:r>
    </w:p>
    <w:p w:rsidR="00000000" w:rsidDel="00000000" w:rsidP="00000000" w:rsidRDefault="00000000" w:rsidRPr="00000000" w14:paraId="0000007D">
      <w:pPr>
        <w:numPr>
          <w:ilvl w:val="0"/>
          <w:numId w:val="16"/>
        </w:numPr>
        <w:spacing w:after="240" w:before="0" w:beforeAutospacing="0" w:line="390" w:lineRule="auto"/>
        <w:ind w:left="720" w:hanging="360"/>
        <w:rPr>
          <w:color w:val="4a86e8"/>
        </w:rPr>
      </w:pPr>
      <w:hyperlink r:id="rId150">
        <w:r w:rsidDel="00000000" w:rsidR="00000000" w:rsidRPr="00000000">
          <w:rPr>
            <w:color w:val="4a86e8"/>
            <w:sz w:val="24"/>
            <w:szCs w:val="24"/>
            <w:rtl w:val="0"/>
          </w:rPr>
          <w:t xml:space="preserve">What are the recommendations for surveillance after lobectomy versus total thyroidectomy?</w:t>
        </w:r>
      </w:hyperlink>
      <w:r w:rsidDel="00000000" w:rsidR="00000000" w:rsidRPr="00000000">
        <w:rPr>
          <w:rtl w:val="0"/>
        </w:rPr>
      </w:r>
    </w:p>
    <w:p w:rsidR="00000000" w:rsidDel="00000000" w:rsidP="00000000" w:rsidRDefault="00000000" w:rsidRPr="00000000" w14:paraId="0000007E">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surveillance intervals, imaging modalities, or management of recurrence.</w:t>
      </w:r>
    </w:p>
    <w:p w:rsidR="00000000" w:rsidDel="00000000" w:rsidP="00000000" w:rsidRDefault="00000000" w:rsidRPr="00000000" w14:paraId="0000007F">
      <w:pPr>
        <w:pStyle w:val="Heading3"/>
        <w:keepNext w:val="0"/>
        <w:keepLines w:val="0"/>
        <w:spacing w:after="40" w:before="460" w:line="346.66666666666663" w:lineRule="auto"/>
        <w:rPr>
          <w:b w:val="1"/>
          <w:bCs w:val="1"/>
          <w:color w:val="4a86e8"/>
          <w:sz w:val="27"/>
          <w:szCs w:val="27"/>
        </w:rPr>
      </w:pPr>
      <w:bookmarkStart w:colFirst="0" w:colLast="0" w:name="_uysa4yahj6w8" w:id="20"/>
      <w:bookmarkEnd w:id="20"/>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80">
      <w:pPr>
        <w:numPr>
          <w:ilvl w:val="0"/>
          <w:numId w:val="7"/>
        </w:numPr>
        <w:spacing w:after="0" w:afterAutospacing="0" w:before="240" w:lineRule="auto"/>
        <w:ind w:left="720" w:hanging="360"/>
        <w:rPr>
          <w:color w:val="4a86e8"/>
        </w:rPr>
      </w:pPr>
      <w:hyperlink r:id="rId151">
        <w:r w:rsidDel="00000000" w:rsidR="00000000" w:rsidRPr="00000000">
          <w:rPr>
            <w:color w:val="4a86e8"/>
            <w:sz w:val="24"/>
            <w:szCs w:val="24"/>
            <w:rtl w:val="0"/>
          </w:rPr>
          <w:t xml:space="preserve">Differentiated thyroid cancer: Overview of management &gt; ASSESS RESPONSE TO INITIAL POSTOPERATIVE THERAPY &gt; Thyroid tests and imaging</w:t>
        </w:r>
      </w:hyperlink>
      <w:r w:rsidDel="00000000" w:rsidR="00000000" w:rsidRPr="00000000">
        <w:rPr>
          <w:rtl w:val="0"/>
        </w:rPr>
      </w:r>
    </w:p>
    <w:p w:rsidR="00000000" w:rsidDel="00000000" w:rsidP="00000000" w:rsidRDefault="00000000" w:rsidRPr="00000000" w14:paraId="00000081">
      <w:pPr>
        <w:numPr>
          <w:ilvl w:val="0"/>
          <w:numId w:val="7"/>
        </w:numPr>
        <w:spacing w:after="0" w:afterAutospacing="0" w:before="0" w:beforeAutospacing="0" w:lineRule="auto"/>
        <w:ind w:left="720" w:hanging="360"/>
        <w:rPr>
          <w:color w:val="4a86e8"/>
        </w:rPr>
      </w:pPr>
      <w:hyperlink r:id="rId152">
        <w:r w:rsidDel="00000000" w:rsidR="00000000" w:rsidRPr="00000000">
          <w:rPr>
            <w:color w:val="4a86e8"/>
            <w:sz w:val="24"/>
            <w:szCs w:val="24"/>
            <w:rtl w:val="0"/>
          </w:rPr>
          <w:t xml:space="preserve">Differentiated thyroid cancer: Overview of management &gt; ONGOING MANAGEMENT BASED ON RESPONSE TO INITIAL THERAPY &gt; Excellent response to therapy</w:t>
        </w:r>
      </w:hyperlink>
      <w:r w:rsidDel="00000000" w:rsidR="00000000" w:rsidRPr="00000000">
        <w:rPr>
          <w:rtl w:val="0"/>
        </w:rPr>
      </w:r>
    </w:p>
    <w:p w:rsidR="00000000" w:rsidDel="00000000" w:rsidP="00000000" w:rsidRDefault="00000000" w:rsidRPr="00000000" w14:paraId="00000082">
      <w:pPr>
        <w:numPr>
          <w:ilvl w:val="0"/>
          <w:numId w:val="7"/>
        </w:numPr>
        <w:spacing w:after="0" w:afterAutospacing="0" w:before="0" w:beforeAutospacing="0" w:lineRule="auto"/>
        <w:ind w:left="720" w:hanging="360"/>
        <w:rPr>
          <w:color w:val="4a86e8"/>
        </w:rPr>
      </w:pPr>
      <w:hyperlink r:id="rId153">
        <w:r w:rsidDel="00000000" w:rsidR="00000000" w:rsidRPr="00000000">
          <w:rPr>
            <w:color w:val="4a86e8"/>
            <w:sz w:val="24"/>
            <w:szCs w:val="24"/>
            <w:rtl w:val="0"/>
          </w:rPr>
          <w:t xml:space="preserve">Differentiated thyroid cancer: Overview of management &gt; ONGOING MANAGEMENT BASED ON RESPONSE TO INITIAL THERAPY &gt; Indeterminate response</w:t>
        </w:r>
      </w:hyperlink>
      <w:r w:rsidDel="00000000" w:rsidR="00000000" w:rsidRPr="00000000">
        <w:rPr>
          <w:rtl w:val="0"/>
        </w:rPr>
      </w:r>
    </w:p>
    <w:p w:rsidR="00000000" w:rsidDel="00000000" w:rsidP="00000000" w:rsidRDefault="00000000" w:rsidRPr="00000000" w14:paraId="00000083">
      <w:pPr>
        <w:numPr>
          <w:ilvl w:val="0"/>
          <w:numId w:val="7"/>
        </w:numPr>
        <w:spacing w:after="0" w:afterAutospacing="0" w:before="0" w:beforeAutospacing="0" w:lineRule="auto"/>
        <w:ind w:left="720" w:hanging="360"/>
        <w:rPr>
          <w:color w:val="4a86e8"/>
        </w:rPr>
      </w:pPr>
      <w:hyperlink r:id="rId154">
        <w:r w:rsidDel="00000000" w:rsidR="00000000" w:rsidRPr="00000000">
          <w:rPr>
            <w:color w:val="4a86e8"/>
            <w:sz w:val="24"/>
            <w:szCs w:val="24"/>
            <w:rtl w:val="0"/>
          </w:rPr>
          <w:t xml:space="preserve">Differentiated thyroid cancer: Overview of management &gt; ONGOING MANAGEMENT BASED ON RESPONSE TO INITIAL THERAPY &gt; Biochemical incomplete response</w:t>
        </w:r>
      </w:hyperlink>
      <w:r w:rsidDel="00000000" w:rsidR="00000000" w:rsidRPr="00000000">
        <w:rPr>
          <w:rtl w:val="0"/>
        </w:rPr>
      </w:r>
    </w:p>
    <w:p w:rsidR="00000000" w:rsidDel="00000000" w:rsidP="00000000" w:rsidRDefault="00000000" w:rsidRPr="00000000" w14:paraId="00000084">
      <w:pPr>
        <w:numPr>
          <w:ilvl w:val="0"/>
          <w:numId w:val="7"/>
        </w:numPr>
        <w:spacing w:after="0" w:afterAutospacing="0" w:before="0" w:beforeAutospacing="0" w:lineRule="auto"/>
        <w:ind w:left="720" w:hanging="360"/>
        <w:rPr>
          <w:color w:val="4a86e8"/>
        </w:rPr>
      </w:pPr>
      <w:hyperlink r:id="rId155">
        <w:r w:rsidDel="00000000" w:rsidR="00000000" w:rsidRPr="00000000">
          <w:rPr>
            <w:color w:val="4a86e8"/>
            <w:sz w:val="24"/>
            <w:szCs w:val="24"/>
            <w:rtl w:val="0"/>
          </w:rPr>
          <w:t xml:space="preserve">Differentiated thyroid cancer: Overview of management &gt; ONGOING MANAGEMENT BASED ON RESPONSE TO INITIAL THERAPY &gt; Biochemical incomplete response &gt; Nonstimulated Tg &lt;10 ng/mL and stable or declining Tg or Tg antibodies</w:t>
        </w:r>
      </w:hyperlink>
      <w:r w:rsidDel="00000000" w:rsidR="00000000" w:rsidRPr="00000000">
        <w:rPr>
          <w:rtl w:val="0"/>
        </w:rPr>
      </w:r>
    </w:p>
    <w:p w:rsidR="00000000" w:rsidDel="00000000" w:rsidP="00000000" w:rsidRDefault="00000000" w:rsidRPr="00000000" w14:paraId="00000085">
      <w:pPr>
        <w:numPr>
          <w:ilvl w:val="0"/>
          <w:numId w:val="7"/>
        </w:numPr>
        <w:spacing w:after="0" w:afterAutospacing="0" w:before="0" w:beforeAutospacing="0" w:lineRule="auto"/>
        <w:ind w:left="720" w:hanging="360"/>
        <w:rPr>
          <w:color w:val="4a86e8"/>
        </w:rPr>
      </w:pPr>
      <w:hyperlink r:id="rId156">
        <w:r w:rsidDel="00000000" w:rsidR="00000000" w:rsidRPr="00000000">
          <w:rPr>
            <w:color w:val="4a86e8"/>
            <w:sz w:val="24"/>
            <w:szCs w:val="24"/>
            <w:rtl w:val="0"/>
          </w:rPr>
          <w:t xml:space="preserve">Differentiated thyroid cancer: Overview of management &gt; ONGOING MANAGEMENT BASED ON RESPONSE TO INITIAL THERAPY &gt; Biochemical incomplete response &gt; Nonstimulated Tg ≥10 ng/mL, rising Tg, or rising Tg antibodies</w:t>
        </w:r>
      </w:hyperlink>
      <w:r w:rsidDel="00000000" w:rsidR="00000000" w:rsidRPr="00000000">
        <w:rPr>
          <w:rtl w:val="0"/>
        </w:rPr>
      </w:r>
    </w:p>
    <w:p w:rsidR="00000000" w:rsidDel="00000000" w:rsidP="00000000" w:rsidRDefault="00000000" w:rsidRPr="00000000" w14:paraId="00000086">
      <w:pPr>
        <w:numPr>
          <w:ilvl w:val="0"/>
          <w:numId w:val="7"/>
        </w:numPr>
        <w:spacing w:after="0" w:afterAutospacing="0" w:before="0" w:beforeAutospacing="0" w:lineRule="auto"/>
        <w:ind w:left="720" w:hanging="360"/>
        <w:rPr>
          <w:color w:val="4a86e8"/>
        </w:rPr>
      </w:pPr>
      <w:hyperlink r:id="rId157">
        <w:r w:rsidDel="00000000" w:rsidR="00000000" w:rsidRPr="00000000">
          <w:rPr>
            <w:color w:val="4a86e8"/>
            <w:sz w:val="24"/>
            <w:szCs w:val="24"/>
            <w:rtl w:val="0"/>
          </w:rPr>
          <w:t xml:space="preserve">Differentiated thyroid cancer: Overview of management &gt; ONGOING MANAGEMENT BASED ON RESPONSE TO INITIAL THERAPY &gt; Structural incomplete response or recurrence</w:t>
        </w:r>
      </w:hyperlink>
      <w:r w:rsidDel="00000000" w:rsidR="00000000" w:rsidRPr="00000000">
        <w:rPr>
          <w:rtl w:val="0"/>
        </w:rPr>
      </w:r>
    </w:p>
    <w:p w:rsidR="00000000" w:rsidDel="00000000" w:rsidP="00000000" w:rsidRDefault="00000000" w:rsidRPr="00000000" w14:paraId="00000087">
      <w:pPr>
        <w:numPr>
          <w:ilvl w:val="0"/>
          <w:numId w:val="7"/>
        </w:numPr>
        <w:spacing w:after="0" w:afterAutospacing="0" w:before="0" w:beforeAutospacing="0" w:lineRule="auto"/>
        <w:ind w:left="720" w:hanging="360"/>
        <w:rPr>
          <w:color w:val="4a86e8"/>
        </w:rPr>
      </w:pPr>
      <w:hyperlink r:id="rId158">
        <w:r w:rsidDel="00000000" w:rsidR="00000000" w:rsidRPr="00000000">
          <w:rPr>
            <w:color w:val="4a86e8"/>
            <w:sz w:val="24"/>
            <w:szCs w:val="24"/>
            <w:rtl w:val="0"/>
          </w:rPr>
          <w:t xml:space="preserve">Differentiated thyroid cancer: Overview of management &gt; ASSESS RESPONSE TO INITIAL POSTOPERATIVE THERAPY &gt; Dynamic risk stratification</w:t>
        </w:r>
      </w:hyperlink>
      <w:r w:rsidDel="00000000" w:rsidR="00000000" w:rsidRPr="00000000">
        <w:rPr>
          <w:rtl w:val="0"/>
        </w:rPr>
      </w:r>
    </w:p>
    <w:p w:rsidR="00000000" w:rsidDel="00000000" w:rsidP="00000000" w:rsidRDefault="00000000" w:rsidRPr="00000000" w14:paraId="00000088">
      <w:pPr>
        <w:numPr>
          <w:ilvl w:val="0"/>
          <w:numId w:val="7"/>
        </w:numPr>
        <w:spacing w:after="240" w:before="0" w:beforeAutospacing="0" w:lineRule="auto"/>
        <w:ind w:left="720" w:hanging="360"/>
        <w:rPr>
          <w:color w:val="4a86e8"/>
        </w:rPr>
      </w:pPr>
      <w:hyperlink r:id="rId159">
        <w:r w:rsidDel="00000000" w:rsidR="00000000" w:rsidRPr="00000000">
          <w:rPr>
            <w:color w:val="4a86e8"/>
            <w:sz w:val="24"/>
            <w:szCs w:val="24"/>
            <w:rtl w:val="0"/>
          </w:rPr>
          <w:t xml:space="preserve">Differentiated thyroid cancer: Overview of management &gt; ONGOING MANAGEMENT BASED ON RESPONSE TO INITIAL THERAPY</w:t>
        </w:r>
      </w:hyperlink>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ks1y56g92po"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60</w:t>
      </w:r>
      <w:r w:rsidDel="00000000" w:rsidR="00000000" w:rsidRPr="00000000">
        <w:rPr>
          <w:rtl w:val="0"/>
        </w:rPr>
      </w:r>
    </w:p>
    <w:p w:rsidR="00000000" w:rsidDel="00000000" w:rsidP="00000000" w:rsidRDefault="00000000" w:rsidRPr="00000000" w14:paraId="0000008B">
      <w:pPr>
        <w:spacing w:line="390" w:lineRule="auto"/>
        <w:rPr>
          <w:color w:val="232323"/>
          <w:sz w:val="24"/>
          <w:szCs w:val="24"/>
        </w:rPr>
      </w:pPr>
      <w:r w:rsidDel="00000000" w:rsidR="00000000" w:rsidRPr="00000000">
        <w:rPr>
          <w:color w:val="232323"/>
          <w:sz w:val="24"/>
          <w:szCs w:val="24"/>
          <w:rtl w:val="0"/>
        </w:rPr>
        <w:t xml:space="preserve">ASSUMPTIONS: You are asking about the target TSH goals for patients with recurrent differentiated thyroid cancer, specifically in the context of TSH suppression therapy. I am assuming the patient is an adult and that the question refers to ongoing management after initial therapy, including recurrence or persistent disease.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line="390" w:lineRule="auto"/>
        <w:rPr>
          <w:color w:val="232323"/>
          <w:sz w:val="24"/>
          <w:szCs w:val="24"/>
        </w:rPr>
      </w:pPr>
      <w:r w:rsidDel="00000000" w:rsidR="00000000" w:rsidRPr="00000000">
        <w:rPr>
          <w:color w:val="232323"/>
          <w:sz w:val="24"/>
          <w:szCs w:val="24"/>
          <w:rtl w:val="0"/>
        </w:rPr>
        <w:t xml:space="preserve">For patients with recurrent differentiated thyroid cancer (structural incomplete response or recurrence), the recommended TSH goal is to maintain serum TSH below 0.1 mU/L, unless there are comorbid conditions that increase the risk of TSH suppression (such as menopause, tachycardia, osteopenia, osteoporosis, older age, or atrial fibrillation)</w:t>
      </w:r>
      <w:hyperlink r:id="rId160">
        <w:r w:rsidDel="00000000" w:rsidR="00000000" w:rsidRPr="00000000">
          <w:rPr>
            <w:color w:val="232323"/>
            <w:sz w:val="24"/>
            <w:szCs w:val="24"/>
            <w:rtl w:val="0"/>
          </w:rPr>
          <w:t xml:space="preserve"> </w:t>
        </w:r>
      </w:hyperlink>
      <w:hyperlink r:id="rId161">
        <w:r w:rsidDel="00000000" w:rsidR="00000000" w:rsidRPr="00000000">
          <w:rPr>
            <w:color w:val="1155cc"/>
            <w:sz w:val="24"/>
            <w:szCs w:val="24"/>
            <w:rtl w:val="0"/>
          </w:rPr>
          <w:t xml:space="preserve">[1]</w:t>
        </w:r>
      </w:hyperlink>
      <w:hyperlink r:id="rId162">
        <w:r w:rsidDel="00000000" w:rsidR="00000000" w:rsidRPr="00000000">
          <w:rPr>
            <w:color w:val="1155cc"/>
            <w:sz w:val="24"/>
            <w:szCs w:val="24"/>
            <w:rtl w:val="0"/>
          </w:rPr>
          <w:t xml:space="preserve">[2]</w:t>
        </w:r>
      </w:hyperlink>
      <w:hyperlink r:id="rId163">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The degree of suppression may be modified based on individual risk factors and the risks associated with prolonged TSH suppression. For patients with high-risk disease (eg, extrathyroidal extension, incomplete resection, distant metastases), the initial TSH goal is also below the lower limit of the reference range (eg, 0.1 to 0.5 mU/L)</w:t>
      </w:r>
      <w:hyperlink r:id="rId164">
        <w:r w:rsidDel="00000000" w:rsidR="00000000" w:rsidRPr="00000000">
          <w:rPr>
            <w:color w:val="232323"/>
            <w:sz w:val="24"/>
            <w:szCs w:val="24"/>
            <w:rtl w:val="0"/>
          </w:rPr>
          <w:t xml:space="preserve"> </w:t>
        </w:r>
      </w:hyperlink>
      <w:hyperlink r:id="rId165">
        <w:r w:rsidDel="00000000" w:rsidR="00000000" w:rsidRPr="00000000">
          <w:rPr>
            <w:color w:val="1155cc"/>
            <w:sz w:val="24"/>
            <w:szCs w:val="24"/>
            <w:rtl w:val="0"/>
          </w:rPr>
          <w:t xml:space="preserve">[2]</w:t>
        </w:r>
      </w:hyperlink>
      <w:hyperlink r:id="rId166">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E">
      <w:pPr>
        <w:spacing w:line="390" w:lineRule="auto"/>
        <w:rPr>
          <w:color w:val="232323"/>
          <w:sz w:val="24"/>
          <w:szCs w:val="24"/>
        </w:rPr>
      </w:pPr>
      <w:r w:rsidDel="00000000" w:rsidR="00000000" w:rsidRPr="00000000">
        <w:rPr>
          <w:rtl w:val="0"/>
        </w:rPr>
      </w:r>
    </w:p>
    <w:p w:rsidR="00000000" w:rsidDel="00000000" w:rsidP="00000000" w:rsidRDefault="00000000" w:rsidRPr="00000000" w14:paraId="0000008F">
      <w:pPr>
        <w:spacing w:line="390" w:lineRule="auto"/>
        <w:rPr>
          <w:color w:val="232323"/>
          <w:sz w:val="24"/>
          <w:szCs w:val="24"/>
        </w:rPr>
      </w:pPr>
      <w:r w:rsidDel="00000000" w:rsidR="00000000" w:rsidRPr="00000000">
        <w:rPr>
          <w:color w:val="232323"/>
          <w:sz w:val="24"/>
          <w:szCs w:val="24"/>
          <w:rtl w:val="0"/>
        </w:rPr>
        <w:t xml:space="preserve">The rationale for TSH suppression is to minimize stimulation of tumor growth, as TSH can promote the proliferation of residual or recurrent thyroid cancer cells. However, aggressive TSH suppression should be balanced against the potential risks, including bone loss and cardiac arrhythmias, especially in older adults or those with predisposing conditions</w:t>
      </w:r>
      <w:hyperlink r:id="rId167">
        <w:r w:rsidDel="00000000" w:rsidR="00000000" w:rsidRPr="00000000">
          <w:rPr>
            <w:color w:val="232323"/>
            <w:sz w:val="24"/>
            <w:szCs w:val="24"/>
            <w:rtl w:val="0"/>
          </w:rPr>
          <w:t xml:space="preserve"> </w:t>
        </w:r>
      </w:hyperlink>
      <w:hyperlink r:id="rId168">
        <w:r w:rsidDel="00000000" w:rsidR="00000000" w:rsidRPr="00000000">
          <w:rPr>
            <w:color w:val="1155cc"/>
            <w:sz w:val="24"/>
            <w:szCs w:val="24"/>
            <w:rtl w:val="0"/>
          </w:rPr>
          <w:t xml:space="preserve">[2]</w:t>
        </w:r>
      </w:hyperlink>
      <w:hyperlink r:id="rId169">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0">
      <w:pPr>
        <w:spacing w:line="390" w:lineRule="auto"/>
        <w:rPr>
          <w:color w:val="232323"/>
          <w:sz w:val="24"/>
          <w:szCs w:val="24"/>
        </w:rPr>
      </w:pPr>
      <w:r w:rsidDel="00000000" w:rsidR="00000000" w:rsidRPr="00000000">
        <w:rPr>
          <w:rtl w:val="0"/>
        </w:rPr>
      </w:r>
    </w:p>
    <w:p w:rsidR="00000000" w:rsidDel="00000000" w:rsidP="00000000" w:rsidRDefault="00000000" w:rsidRPr="00000000" w14:paraId="00000091">
      <w:pPr>
        <w:spacing w:line="390" w:lineRule="auto"/>
        <w:rPr>
          <w:color w:val="232323"/>
          <w:sz w:val="24"/>
          <w:szCs w:val="24"/>
        </w:rPr>
      </w:pPr>
      <w:r w:rsidDel="00000000" w:rsidR="00000000" w:rsidRPr="00000000">
        <w:rPr>
          <w:color w:val="232323"/>
          <w:sz w:val="24"/>
          <w:szCs w:val="24"/>
          <w:rtl w:val="0"/>
        </w:rPr>
        <w:t xml:space="preserve">For patients with a biochemical incomplete response (abnormal thyroglobulin or rising thyroglobulin antibodies without localizable disease), the TSH goal is typically between 0.1 and 1.5 mU/L, individualized based on the magnitude of thyroglobulin elevation and comorbidities</w:t>
      </w:r>
      <w:hyperlink r:id="rId170">
        <w:r w:rsidDel="00000000" w:rsidR="00000000" w:rsidRPr="00000000">
          <w:rPr>
            <w:color w:val="232323"/>
            <w:sz w:val="24"/>
            <w:szCs w:val="24"/>
            <w:rtl w:val="0"/>
          </w:rPr>
          <w:t xml:space="preserve"> </w:t>
        </w:r>
      </w:hyperlink>
      <w:hyperlink r:id="rId171">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 Precise TSH goals in patients with biochemical and structural incomplete response are not well established and should be tailored to the individual</w:t>
      </w:r>
      <w:hyperlink r:id="rId172">
        <w:r w:rsidDel="00000000" w:rsidR="00000000" w:rsidRPr="00000000">
          <w:rPr>
            <w:color w:val="232323"/>
            <w:sz w:val="24"/>
            <w:szCs w:val="24"/>
            <w:rtl w:val="0"/>
          </w:rPr>
          <w:t xml:space="preserve"> </w:t>
        </w:r>
      </w:hyperlink>
      <w:hyperlink r:id="rId173">
        <w:r w:rsidDel="00000000" w:rsidR="00000000" w:rsidRPr="00000000">
          <w:rPr>
            <w:color w:val="1155cc"/>
            <w:sz w:val="24"/>
            <w:szCs w:val="24"/>
            <w:rtl w:val="0"/>
          </w:rPr>
          <w:t xml:space="preserve">[3]</w:t>
        </w:r>
      </w:hyperlink>
      <w:hyperlink r:id="rId174">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92">
      <w:pPr>
        <w:spacing w:line="390" w:lineRule="auto"/>
        <w:rPr>
          <w:color w:val="232323"/>
          <w:sz w:val="24"/>
          <w:szCs w:val="24"/>
        </w:rPr>
      </w:pPr>
      <w:r w:rsidDel="00000000" w:rsidR="00000000" w:rsidRPr="00000000">
        <w:rPr>
          <w:rtl w:val="0"/>
        </w:rPr>
      </w:r>
    </w:p>
    <w:p w:rsidR="00000000" w:rsidDel="00000000" w:rsidP="00000000" w:rsidRDefault="00000000" w:rsidRPr="00000000" w14:paraId="00000093">
      <w:pPr>
        <w:spacing w:line="390" w:lineRule="auto"/>
        <w:rPr>
          <w:color w:val="232323"/>
          <w:sz w:val="24"/>
          <w:szCs w:val="24"/>
        </w:rPr>
      </w:pPr>
      <w:r w:rsidDel="00000000" w:rsidR="00000000" w:rsidRPr="00000000">
        <w:rPr>
          <w:color w:val="232323"/>
          <w:sz w:val="24"/>
          <w:szCs w:val="24"/>
          <w:rtl w:val="0"/>
        </w:rPr>
        <w:t xml:space="preserve">For most patients with low-risk disease and an excellent response to therapy, the TSH goal is to maintain TSH within the normal reference range</w:t>
      </w:r>
      <w:hyperlink r:id="rId175">
        <w:r w:rsidDel="00000000" w:rsidR="00000000" w:rsidRPr="00000000">
          <w:rPr>
            <w:color w:val="232323"/>
            <w:sz w:val="24"/>
            <w:szCs w:val="24"/>
            <w:rtl w:val="0"/>
          </w:rPr>
          <w:t xml:space="preserve"> </w:t>
        </w:r>
      </w:hyperlink>
      <w:hyperlink r:id="rId176">
        <w:r w:rsidDel="00000000" w:rsidR="00000000" w:rsidRPr="00000000">
          <w:rPr>
            <w:color w:val="1155cc"/>
            <w:sz w:val="24"/>
            <w:szCs w:val="24"/>
            <w:rtl w:val="0"/>
          </w:rPr>
          <w:t xml:space="preserve">[2]</w:t>
        </w:r>
      </w:hyperlink>
      <w:hyperlink r:id="rId177">
        <w:r w:rsidDel="00000000" w:rsidR="00000000" w:rsidRPr="00000000">
          <w:rPr>
            <w:color w:val="1155cc"/>
            <w:sz w:val="24"/>
            <w:szCs w:val="24"/>
            <w:rtl w:val="0"/>
          </w:rPr>
          <w:t xml:space="preserve">[3]</w:t>
        </w:r>
      </w:hyperlink>
      <w:hyperlink r:id="rId178">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4">
      <w:pPr>
        <w:spacing w:line="390" w:lineRule="auto"/>
        <w:rPr>
          <w:color w:val="232323"/>
          <w:sz w:val="24"/>
          <w:szCs w:val="24"/>
        </w:rPr>
      </w:pPr>
      <w:r w:rsidDel="00000000" w:rsidR="00000000" w:rsidRPr="00000000">
        <w:rPr>
          <w:color w:val="232323"/>
          <w:sz w:val="24"/>
          <w:szCs w:val="24"/>
          <w:rtl w:val="0"/>
        </w:rPr>
        <w:t xml:space="preserve">You can review the</w:t>
      </w:r>
      <w:hyperlink r:id="rId179">
        <w:r w:rsidDel="00000000" w:rsidR="00000000" w:rsidRPr="00000000">
          <w:rPr>
            <w:color w:val="232323"/>
            <w:sz w:val="24"/>
            <w:szCs w:val="24"/>
            <w:rtl w:val="0"/>
          </w:rPr>
          <w:t xml:space="preserve"> </w:t>
        </w:r>
      </w:hyperlink>
      <w:hyperlink r:id="rId180">
        <w:r w:rsidDel="00000000" w:rsidR="00000000" w:rsidRPr="00000000">
          <w:rPr>
            <w:color w:val="1155cc"/>
            <w:sz w:val="24"/>
            <w:szCs w:val="24"/>
            <w:rtl w:val="0"/>
          </w:rPr>
          <w:t xml:space="preserve"> TSH goals for differentiated thyroid cancer management</w:t>
        </w:r>
      </w:hyperlink>
      <w:r w:rsidDel="00000000" w:rsidR="00000000" w:rsidRPr="00000000">
        <w:rPr>
          <w:color w:val="232323"/>
          <w:sz w:val="24"/>
          <w:szCs w:val="24"/>
          <w:rtl w:val="0"/>
        </w:rPr>
        <w:t xml:space="preserve"> for further details</w:t>
      </w:r>
      <w:hyperlink r:id="rId181">
        <w:r w:rsidDel="00000000" w:rsidR="00000000" w:rsidRPr="00000000">
          <w:rPr>
            <w:color w:val="232323"/>
            <w:sz w:val="24"/>
            <w:szCs w:val="24"/>
            <w:rtl w:val="0"/>
          </w:rPr>
          <w:t xml:space="preserve"> </w:t>
        </w:r>
      </w:hyperlink>
      <w:hyperlink r:id="rId182">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5">
      <w:pPr>
        <w:pStyle w:val="Heading3"/>
        <w:keepNext w:val="0"/>
        <w:keepLines w:val="0"/>
        <w:spacing w:after="40" w:before="460" w:line="346.66666666666663" w:lineRule="auto"/>
        <w:rPr>
          <w:b w:val="1"/>
          <w:bCs w:val="1"/>
          <w:color w:val="232323"/>
          <w:sz w:val="27"/>
          <w:szCs w:val="27"/>
        </w:rPr>
      </w:pPr>
      <w:bookmarkStart w:colFirst="0" w:colLast="0" w:name="_dmpnwuqa6mtg" w:id="22"/>
      <w:bookmarkEnd w:id="22"/>
      <w:r w:rsidDel="00000000" w:rsidR="00000000" w:rsidRPr="00000000">
        <w:rPr>
          <w:b w:val="1"/>
          <w:bCs w:val="1"/>
          <w:color w:val="232323"/>
          <w:sz w:val="27"/>
          <w:szCs w:val="27"/>
          <w:rtl w:val="0"/>
        </w:rPr>
        <w:t xml:space="preserve">Key Points</w:t>
      </w:r>
    </w:p>
    <w:p w:rsidR="00000000" w:rsidDel="00000000" w:rsidP="00000000" w:rsidRDefault="00000000" w:rsidRPr="00000000" w14:paraId="00000096">
      <w:pPr>
        <w:numPr>
          <w:ilvl w:val="0"/>
          <w:numId w:val="21"/>
        </w:numPr>
        <w:spacing w:after="0" w:afterAutospacing="0" w:before="220" w:line="390" w:lineRule="auto"/>
        <w:ind w:left="720" w:hanging="360"/>
        <w:rPr>
          <w:sz w:val="24"/>
          <w:szCs w:val="24"/>
        </w:rPr>
      </w:pPr>
      <w:r w:rsidDel="00000000" w:rsidR="00000000" w:rsidRPr="00000000">
        <w:rPr>
          <w:color w:val="232323"/>
          <w:sz w:val="24"/>
          <w:szCs w:val="24"/>
          <w:rtl w:val="0"/>
        </w:rPr>
        <w:t xml:space="preserve">For recurrent or persistent differentiated thyroid cancer, maintain TSH below 0.1 mU/L, with adjustments for comorbidities </w:t>
      </w:r>
      <w:hyperlink r:id="rId183">
        <w:r w:rsidDel="00000000" w:rsidR="00000000" w:rsidRPr="00000000">
          <w:rPr>
            <w:color w:val="1155cc"/>
            <w:sz w:val="24"/>
            <w:szCs w:val="24"/>
            <w:rtl w:val="0"/>
          </w:rPr>
          <w:t xml:space="preserve">[1]</w:t>
        </w:r>
      </w:hyperlink>
      <w:hyperlink r:id="rId184">
        <w:r w:rsidDel="00000000" w:rsidR="00000000" w:rsidRPr="00000000">
          <w:rPr>
            <w:color w:val="1155cc"/>
            <w:sz w:val="24"/>
            <w:szCs w:val="24"/>
            <w:rtl w:val="0"/>
          </w:rPr>
          <w:t xml:space="preserve">[2]</w:t>
        </w:r>
      </w:hyperlink>
      <w:hyperlink r:id="rId185">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7">
      <w:pPr>
        <w:numPr>
          <w:ilvl w:val="0"/>
          <w:numId w:val="21"/>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biochemical incomplete response, individualize TSH goal between 0.1 and 1.5 mU/L </w:t>
      </w:r>
      <w:hyperlink r:id="rId186">
        <w:r w:rsidDel="00000000" w:rsidR="00000000" w:rsidRPr="00000000">
          <w:rPr>
            <w:color w:val="1155cc"/>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98">
      <w:pPr>
        <w:numPr>
          <w:ilvl w:val="0"/>
          <w:numId w:val="21"/>
        </w:numPr>
        <w:spacing w:after="240" w:before="0" w:beforeAutospacing="0" w:line="390" w:lineRule="auto"/>
        <w:ind w:left="720" w:hanging="360"/>
        <w:rPr>
          <w:sz w:val="24"/>
          <w:szCs w:val="24"/>
        </w:rPr>
      </w:pPr>
      <w:r w:rsidDel="00000000" w:rsidR="00000000" w:rsidRPr="00000000">
        <w:rPr>
          <w:color w:val="232323"/>
          <w:sz w:val="24"/>
          <w:szCs w:val="24"/>
          <w:rtl w:val="0"/>
        </w:rPr>
        <w:t xml:space="preserve">For low-risk disease with excellent response, maintain TSH within the normal range </w:t>
      </w:r>
      <w:hyperlink r:id="rId187">
        <w:r w:rsidDel="00000000" w:rsidR="00000000" w:rsidRPr="00000000">
          <w:rPr>
            <w:color w:val="1155cc"/>
            <w:sz w:val="24"/>
            <w:szCs w:val="24"/>
            <w:rtl w:val="0"/>
          </w:rPr>
          <w:t xml:space="preserve">[2]</w:t>
        </w:r>
      </w:hyperlink>
      <w:hyperlink r:id="rId188">
        <w:r w:rsidDel="00000000" w:rsidR="00000000" w:rsidRPr="00000000">
          <w:rPr>
            <w:color w:val="1155cc"/>
            <w:sz w:val="24"/>
            <w:szCs w:val="24"/>
            <w:rtl w:val="0"/>
          </w:rPr>
          <w:t xml:space="preserve">[3]</w:t>
        </w:r>
      </w:hyperlink>
      <w:hyperlink r:id="rId18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9">
      <w:pPr>
        <w:pStyle w:val="Heading3"/>
        <w:keepNext w:val="0"/>
        <w:keepLines w:val="0"/>
        <w:spacing w:after="40" w:before="460" w:line="346.66666666666663" w:lineRule="auto"/>
        <w:rPr>
          <w:b w:val="1"/>
          <w:bCs w:val="1"/>
          <w:color w:val="232323"/>
          <w:sz w:val="27"/>
          <w:szCs w:val="27"/>
        </w:rPr>
      </w:pPr>
      <w:bookmarkStart w:colFirst="0" w:colLast="0" w:name="_j9vqxce62xgz" w:id="23"/>
      <w:bookmarkEnd w:id="23"/>
      <w:r w:rsidDel="00000000" w:rsidR="00000000" w:rsidRPr="00000000">
        <w:rPr>
          <w:b w:val="1"/>
          <w:bCs w:val="1"/>
          <w:color w:val="232323"/>
          <w:sz w:val="27"/>
          <w:szCs w:val="27"/>
          <w:rtl w:val="0"/>
        </w:rPr>
        <w:t xml:space="preserve">Learn More</w:t>
      </w:r>
    </w:p>
    <w:p w:rsidR="00000000" w:rsidDel="00000000" w:rsidP="00000000" w:rsidRDefault="00000000" w:rsidRPr="00000000" w14:paraId="0000009A">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B">
      <w:pPr>
        <w:numPr>
          <w:ilvl w:val="0"/>
          <w:numId w:val="3"/>
        </w:numPr>
        <w:spacing w:after="0" w:afterAutospacing="0" w:before="220" w:line="390" w:lineRule="auto"/>
        <w:ind w:left="720" w:hanging="360"/>
      </w:pPr>
      <w:hyperlink r:id="rId190">
        <w:r w:rsidDel="00000000" w:rsidR="00000000" w:rsidRPr="00000000">
          <w:rPr>
            <w:color w:val="1155cc"/>
            <w:sz w:val="24"/>
            <w:szCs w:val="24"/>
            <w:rtl w:val="0"/>
          </w:rPr>
          <w:t xml:space="preserve">What if the patient has significant comorbidities (e.g., osteoporosis, atrial fibrillation)?</w:t>
        </w:r>
      </w:hyperlink>
      <w:r w:rsidDel="00000000" w:rsidR="00000000" w:rsidRPr="00000000">
        <w:rPr>
          <w:rtl w:val="0"/>
        </w:rPr>
      </w:r>
    </w:p>
    <w:p w:rsidR="00000000" w:rsidDel="00000000" w:rsidP="00000000" w:rsidRDefault="00000000" w:rsidRPr="00000000" w14:paraId="0000009C">
      <w:pPr>
        <w:numPr>
          <w:ilvl w:val="0"/>
          <w:numId w:val="3"/>
        </w:numPr>
        <w:spacing w:after="0" w:afterAutospacing="0" w:before="0" w:beforeAutospacing="0" w:line="390" w:lineRule="auto"/>
        <w:ind w:left="720" w:hanging="360"/>
      </w:pPr>
      <w:hyperlink r:id="rId191">
        <w:r w:rsidDel="00000000" w:rsidR="00000000" w:rsidRPr="00000000">
          <w:rPr>
            <w:color w:val="1155cc"/>
            <w:sz w:val="24"/>
            <w:szCs w:val="24"/>
            <w:rtl w:val="0"/>
          </w:rPr>
          <w:t xml:space="preserve">How should TSH goals be adjusted for older adults?</w:t>
        </w:r>
      </w:hyperlink>
      <w:r w:rsidDel="00000000" w:rsidR="00000000" w:rsidRPr="00000000">
        <w:rPr>
          <w:rtl w:val="0"/>
        </w:rPr>
      </w:r>
    </w:p>
    <w:p w:rsidR="00000000" w:rsidDel="00000000" w:rsidP="00000000" w:rsidRDefault="00000000" w:rsidRPr="00000000" w14:paraId="0000009D">
      <w:pPr>
        <w:numPr>
          <w:ilvl w:val="0"/>
          <w:numId w:val="3"/>
        </w:numPr>
        <w:spacing w:after="0" w:afterAutospacing="0" w:before="0" w:beforeAutospacing="0" w:line="390" w:lineRule="auto"/>
        <w:ind w:left="720" w:hanging="360"/>
      </w:pPr>
      <w:hyperlink r:id="rId192">
        <w:r w:rsidDel="00000000" w:rsidR="00000000" w:rsidRPr="00000000">
          <w:rPr>
            <w:color w:val="1155cc"/>
            <w:sz w:val="24"/>
            <w:szCs w:val="24"/>
            <w:rtl w:val="0"/>
          </w:rPr>
          <w:t xml:space="preserve">What is the role of thyroglobulin monitoring in recurrent disease?</w:t>
        </w:r>
      </w:hyperlink>
      <w:r w:rsidDel="00000000" w:rsidR="00000000" w:rsidRPr="00000000">
        <w:rPr>
          <w:rtl w:val="0"/>
        </w:rPr>
      </w:r>
    </w:p>
    <w:p w:rsidR="00000000" w:rsidDel="00000000" w:rsidP="00000000" w:rsidRDefault="00000000" w:rsidRPr="00000000" w14:paraId="0000009E">
      <w:pPr>
        <w:numPr>
          <w:ilvl w:val="0"/>
          <w:numId w:val="3"/>
        </w:numPr>
        <w:spacing w:after="0" w:afterAutospacing="0" w:before="0" w:beforeAutospacing="0" w:line="390" w:lineRule="auto"/>
        <w:ind w:left="720" w:hanging="360"/>
      </w:pPr>
      <w:hyperlink r:id="rId193">
        <w:r w:rsidDel="00000000" w:rsidR="00000000" w:rsidRPr="00000000">
          <w:rPr>
            <w:color w:val="1155cc"/>
            <w:sz w:val="24"/>
            <w:szCs w:val="24"/>
            <w:rtl w:val="0"/>
          </w:rPr>
          <w:t xml:space="preserve">What are the risks of prolonged TSH suppression?</w:t>
        </w:r>
      </w:hyperlink>
      <w:r w:rsidDel="00000000" w:rsidR="00000000" w:rsidRPr="00000000">
        <w:rPr>
          <w:rtl w:val="0"/>
        </w:rPr>
      </w:r>
    </w:p>
    <w:p w:rsidR="00000000" w:rsidDel="00000000" w:rsidP="00000000" w:rsidRDefault="00000000" w:rsidRPr="00000000" w14:paraId="0000009F">
      <w:pPr>
        <w:numPr>
          <w:ilvl w:val="0"/>
          <w:numId w:val="3"/>
        </w:numPr>
        <w:spacing w:after="0" w:afterAutospacing="0" w:before="0" w:beforeAutospacing="0" w:line="390" w:lineRule="auto"/>
        <w:ind w:left="720" w:hanging="360"/>
      </w:pPr>
      <w:hyperlink r:id="rId194">
        <w:r w:rsidDel="00000000" w:rsidR="00000000" w:rsidRPr="00000000">
          <w:rPr>
            <w:color w:val="1155cc"/>
            <w:sz w:val="24"/>
            <w:szCs w:val="24"/>
            <w:rtl w:val="0"/>
          </w:rPr>
          <w:t xml:space="preserve">How should management differ for low-risk versus high-risk recurrent disease?</w:t>
        </w:r>
      </w:hyperlink>
      <w:r w:rsidDel="00000000" w:rsidR="00000000" w:rsidRPr="00000000">
        <w:rPr>
          <w:rtl w:val="0"/>
        </w:rPr>
      </w:r>
    </w:p>
    <w:p w:rsidR="00000000" w:rsidDel="00000000" w:rsidP="00000000" w:rsidRDefault="00000000" w:rsidRPr="00000000" w14:paraId="000000A0">
      <w:pPr>
        <w:numPr>
          <w:ilvl w:val="0"/>
          <w:numId w:val="3"/>
        </w:numPr>
        <w:spacing w:after="240" w:before="0" w:beforeAutospacing="0" w:line="390" w:lineRule="auto"/>
        <w:ind w:left="720" w:hanging="360"/>
      </w:pPr>
      <w:hyperlink r:id="rId195">
        <w:r w:rsidDel="00000000" w:rsidR="00000000" w:rsidRPr="00000000">
          <w:rPr>
            <w:color w:val="1155cc"/>
            <w:sz w:val="24"/>
            <w:szCs w:val="24"/>
            <w:rtl w:val="0"/>
          </w:rPr>
          <w:t xml:space="preserve">What if the patient is pregnant or planning pregnancy?</w:t>
        </w:r>
      </w:hyperlink>
      <w:r w:rsidDel="00000000" w:rsidR="00000000" w:rsidRPr="00000000">
        <w:rPr>
          <w:rtl w:val="0"/>
        </w:rPr>
      </w:r>
    </w:p>
    <w:p w:rsidR="00000000" w:rsidDel="00000000" w:rsidP="00000000" w:rsidRDefault="00000000" w:rsidRPr="00000000" w14:paraId="000000A1">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TSH suppression in thyroid cancer management.</w:t>
      </w:r>
    </w:p>
    <w:p w:rsidR="00000000" w:rsidDel="00000000" w:rsidP="00000000" w:rsidRDefault="00000000" w:rsidRPr="00000000" w14:paraId="000000A2">
      <w:pPr>
        <w:pStyle w:val="Heading3"/>
        <w:keepNext w:val="0"/>
        <w:keepLines w:val="0"/>
        <w:spacing w:after="40" w:before="460" w:line="346.66666666666663" w:lineRule="auto"/>
        <w:rPr>
          <w:b w:val="1"/>
          <w:bCs w:val="1"/>
          <w:color w:val="232323"/>
          <w:sz w:val="27"/>
          <w:szCs w:val="27"/>
        </w:rPr>
      </w:pPr>
      <w:bookmarkStart w:colFirst="0" w:colLast="0" w:name="_chmyyyeay594" w:id="24"/>
      <w:bookmarkEnd w:id="2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3">
      <w:pPr>
        <w:numPr>
          <w:ilvl w:val="0"/>
          <w:numId w:val="20"/>
        </w:numPr>
        <w:spacing w:after="0" w:afterAutospacing="0" w:before="240" w:lineRule="auto"/>
        <w:ind w:left="720" w:hanging="360"/>
      </w:pPr>
      <w:hyperlink r:id="rId196">
        <w:r w:rsidDel="00000000" w:rsidR="00000000" w:rsidRPr="00000000">
          <w:rPr>
            <w:color w:val="1155cc"/>
            <w:sz w:val="24"/>
            <w:szCs w:val="24"/>
            <w:rtl w:val="0"/>
          </w:rPr>
          <w:t xml:space="preserve">Differentiated thyroid cancer: Overview of management &gt; ONGOING MANAGEMENT BASED ON RESPONSE TO INITIAL THERAPY &gt; Structural incomplete response or recurrence</w:t>
        </w:r>
      </w:hyperlink>
      <w:r w:rsidDel="00000000" w:rsidR="00000000" w:rsidRPr="00000000">
        <w:rPr>
          <w:rtl w:val="0"/>
        </w:rPr>
      </w:r>
    </w:p>
    <w:p w:rsidR="00000000" w:rsidDel="00000000" w:rsidP="00000000" w:rsidRDefault="00000000" w:rsidRPr="00000000" w14:paraId="000000A4">
      <w:pPr>
        <w:numPr>
          <w:ilvl w:val="0"/>
          <w:numId w:val="20"/>
        </w:numPr>
        <w:spacing w:after="0" w:afterAutospacing="0" w:before="0" w:beforeAutospacing="0" w:lineRule="auto"/>
        <w:ind w:left="720" w:hanging="360"/>
      </w:pPr>
      <w:hyperlink r:id="rId197">
        <w:r w:rsidDel="00000000" w:rsidR="00000000" w:rsidRPr="00000000">
          <w:rPr>
            <w:color w:val="1155cc"/>
            <w:sz w:val="24"/>
            <w:szCs w:val="24"/>
            <w:rtl w:val="0"/>
          </w:rPr>
          <w:t xml:space="preserve">Differentiated thyroid cancer: Overview of management &gt; ASSESS RESPONSE TO INITIAL POSTOPERATIVE THERAPY &gt; Thyroid tests and imaging</w:t>
        </w:r>
      </w:hyperlink>
      <w:r w:rsidDel="00000000" w:rsidR="00000000" w:rsidRPr="00000000">
        <w:rPr>
          <w:rtl w:val="0"/>
        </w:rPr>
      </w:r>
    </w:p>
    <w:p w:rsidR="00000000" w:rsidDel="00000000" w:rsidP="00000000" w:rsidRDefault="00000000" w:rsidRPr="00000000" w14:paraId="000000A5">
      <w:pPr>
        <w:numPr>
          <w:ilvl w:val="0"/>
          <w:numId w:val="20"/>
        </w:numPr>
        <w:spacing w:after="0" w:afterAutospacing="0" w:before="0" w:beforeAutospacing="0" w:lineRule="auto"/>
        <w:ind w:left="720" w:hanging="360"/>
      </w:pPr>
      <w:hyperlink r:id="rId198">
        <w:r w:rsidDel="00000000" w:rsidR="00000000" w:rsidRPr="00000000">
          <w:rPr>
            <w:color w:val="1155cc"/>
            <w:sz w:val="24"/>
            <w:szCs w:val="24"/>
            <w:rtl w:val="0"/>
          </w:rPr>
          <w:t xml:space="preserve">Differentiated thyroid cancer: Overview of management &gt; SUMMARY AND RECOMMENDATIONS</w:t>
        </w:r>
      </w:hyperlink>
      <w:r w:rsidDel="00000000" w:rsidR="00000000" w:rsidRPr="00000000">
        <w:rPr>
          <w:rtl w:val="0"/>
        </w:rPr>
      </w:r>
    </w:p>
    <w:p w:rsidR="00000000" w:rsidDel="00000000" w:rsidP="00000000" w:rsidRDefault="00000000" w:rsidRPr="00000000" w14:paraId="000000A6">
      <w:pPr>
        <w:numPr>
          <w:ilvl w:val="0"/>
          <w:numId w:val="20"/>
        </w:numPr>
        <w:spacing w:after="0" w:afterAutospacing="0" w:before="0" w:beforeAutospacing="0" w:lineRule="auto"/>
        <w:ind w:left="720" w:hanging="360"/>
      </w:pPr>
      <w:hyperlink r:id="rId199">
        <w:r w:rsidDel="00000000" w:rsidR="00000000" w:rsidRPr="00000000">
          <w:rPr>
            <w:color w:val="1155cc"/>
            <w:sz w:val="24"/>
            <w:szCs w:val="24"/>
            <w:rtl w:val="0"/>
          </w:rPr>
          <w:t xml:space="preserve">Differentiated thyroid cancer: Overview of management &gt; ONGOING MANAGEMENT BASED ON RESPONSE TO INITIAL THERAPY &gt; Biochemical incomplete response</w:t>
        </w:r>
      </w:hyperlink>
      <w:r w:rsidDel="00000000" w:rsidR="00000000" w:rsidRPr="00000000">
        <w:rPr>
          <w:rtl w:val="0"/>
        </w:rPr>
      </w:r>
    </w:p>
    <w:p w:rsidR="00000000" w:rsidDel="00000000" w:rsidP="00000000" w:rsidRDefault="00000000" w:rsidRPr="00000000" w14:paraId="000000A7">
      <w:pPr>
        <w:numPr>
          <w:ilvl w:val="0"/>
          <w:numId w:val="20"/>
        </w:numPr>
        <w:spacing w:after="240" w:before="0" w:beforeAutospacing="0" w:lineRule="auto"/>
        <w:ind w:left="720" w:hanging="360"/>
      </w:pPr>
      <w:hyperlink r:id="rId200">
        <w:r w:rsidDel="00000000" w:rsidR="00000000" w:rsidRPr="00000000">
          <w:rPr>
            <w:color w:val="1155cc"/>
            <w:sz w:val="24"/>
            <w:szCs w:val="24"/>
            <w:rtl w:val="0"/>
          </w:rPr>
          <w:t xml:space="preserve">Differentiated thyroid cancer: Overview of management &gt; ONGOING MANAGEMENT BASED ON RESPONSE TO INITIAL THERAPY &gt; Excellent response to therapy</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8847" TargetMode="External"/><Relationship Id="rId190" Type="http://schemas.openxmlformats.org/officeDocument/2006/relationships/hyperlink" Target="https://ai.uptodate.com/" TargetMode="External"/><Relationship Id="rId42" Type="http://schemas.openxmlformats.org/officeDocument/2006/relationships/hyperlink" Target="https://www.uptodate.com/contents/8847#F56788304" TargetMode="External"/><Relationship Id="rId41" Type="http://schemas.openxmlformats.org/officeDocument/2006/relationships/hyperlink" Target="https://www.uptodate.com/contents/8847#F148379" TargetMode="External"/><Relationship Id="rId44" Type="http://schemas.openxmlformats.org/officeDocument/2006/relationships/hyperlink" Target="https://uptodate.com/contents/8847" TargetMode="External"/><Relationship Id="rId194" Type="http://schemas.openxmlformats.org/officeDocument/2006/relationships/hyperlink" Target="https://ai.uptodate.com/" TargetMode="External"/><Relationship Id="rId43" Type="http://schemas.openxmlformats.org/officeDocument/2006/relationships/hyperlink" Target="https://www.uptodate.com/contents/8847#F148373" TargetMode="External"/><Relationship Id="rId193" Type="http://schemas.openxmlformats.org/officeDocument/2006/relationships/hyperlink" Target="https://ai.uptodate.com/" TargetMode="External"/><Relationship Id="rId46" Type="http://schemas.openxmlformats.org/officeDocument/2006/relationships/hyperlink" Target="https://www.uptodate.com/contents/8847#F50991214" TargetMode="External"/><Relationship Id="rId192" Type="http://schemas.openxmlformats.org/officeDocument/2006/relationships/hyperlink" Target="https://ai.uptodate.com/" TargetMode="External"/><Relationship Id="rId45" Type="http://schemas.openxmlformats.org/officeDocument/2006/relationships/hyperlink" Target="https://www.uptodate.com/contents/5627#H554437026" TargetMode="External"/><Relationship Id="rId191" Type="http://schemas.openxmlformats.org/officeDocument/2006/relationships/hyperlink" Target="https://ai.uptodate.com/" TargetMode="External"/><Relationship Id="rId48" Type="http://schemas.openxmlformats.org/officeDocument/2006/relationships/hyperlink" Target="https://www.uptodate.com/contents/5627#H2466151716" TargetMode="External"/><Relationship Id="rId187" Type="http://schemas.openxmlformats.org/officeDocument/2006/relationships/hyperlink" Target="https://www.uptodate.com/contents/7838#H2798707315" TargetMode="External"/><Relationship Id="rId47" Type="http://schemas.openxmlformats.org/officeDocument/2006/relationships/hyperlink" Target="https://www.uptodate.com/contents/8847#F56788304" TargetMode="External"/><Relationship Id="rId186" Type="http://schemas.openxmlformats.org/officeDocument/2006/relationships/hyperlink" Target="https://www.uptodate.com/contents/7838#H3985795236" TargetMode="External"/><Relationship Id="rId185" Type="http://schemas.openxmlformats.org/officeDocument/2006/relationships/hyperlink" Target="https://www.uptodate.com/contents/7838#H27" TargetMode="External"/><Relationship Id="rId49" Type="http://schemas.openxmlformats.org/officeDocument/2006/relationships/hyperlink" Target="https://www.uptodate.com/contents/5627#H30" TargetMode="External"/><Relationship Id="rId184" Type="http://schemas.openxmlformats.org/officeDocument/2006/relationships/hyperlink" Target="https://www.uptodate.com/contents/7838#H2798707315" TargetMode="External"/><Relationship Id="rId189" Type="http://schemas.openxmlformats.org/officeDocument/2006/relationships/hyperlink" Target="https://www.uptodate.com/contents/7838#H1038011785" TargetMode="External"/><Relationship Id="rId188" Type="http://schemas.openxmlformats.org/officeDocument/2006/relationships/hyperlink" Target="https://www.uptodate.com/contents/7838#H27" TargetMode="External"/><Relationship Id="rId31" Type="http://schemas.openxmlformats.org/officeDocument/2006/relationships/hyperlink" Target="https://www.uptodate.com/contents/5627#H2466151716" TargetMode="External"/><Relationship Id="rId30" Type="http://schemas.openxmlformats.org/officeDocument/2006/relationships/hyperlink" Target="https://www.uptodate.com/contents/5627#H554437026" TargetMode="External"/><Relationship Id="rId33" Type="http://schemas.openxmlformats.org/officeDocument/2006/relationships/hyperlink" Target="https://www.uptodate.com/contents/5627#H339291591" TargetMode="External"/><Relationship Id="rId183" Type="http://schemas.openxmlformats.org/officeDocument/2006/relationships/hyperlink" Target="https://www.uptodate.com/contents/7838#H2307197859" TargetMode="External"/><Relationship Id="rId32" Type="http://schemas.openxmlformats.org/officeDocument/2006/relationships/hyperlink" Target="https://www.uptodate.com/contents/5627#H3138977285" TargetMode="External"/><Relationship Id="rId182" Type="http://schemas.openxmlformats.org/officeDocument/2006/relationships/hyperlink" Target="https://www.uptodate.com/contents/7838#H2798707315" TargetMode="External"/><Relationship Id="rId35" Type="http://schemas.openxmlformats.org/officeDocument/2006/relationships/hyperlink" Target="https://www.uptodate.com/contents/5627#H2845581183" TargetMode="External"/><Relationship Id="rId181" Type="http://schemas.openxmlformats.org/officeDocument/2006/relationships/hyperlink" Target="https://www.uptodate.com/contents/7838#H2798707315" TargetMode="External"/><Relationship Id="rId34" Type="http://schemas.openxmlformats.org/officeDocument/2006/relationships/hyperlink" Target="https://www.uptodate.com/contents/5627#H2519811742" TargetMode="External"/><Relationship Id="rId180" Type="http://schemas.openxmlformats.org/officeDocument/2006/relationships/hyperlink" Target="https://www.uptodate.com/contents/image?imageKey=90173&amp;source=expert-ai&amp;graphic-type=table" TargetMode="External"/><Relationship Id="rId37" Type="http://schemas.openxmlformats.org/officeDocument/2006/relationships/hyperlink" Target="https://www.uptodate.com/contents/5627#H30" TargetMode="External"/><Relationship Id="rId176" Type="http://schemas.openxmlformats.org/officeDocument/2006/relationships/hyperlink" Target="https://www.uptodate.com/contents/7838#H2798707315" TargetMode="External"/><Relationship Id="rId36" Type="http://schemas.openxmlformats.org/officeDocument/2006/relationships/hyperlink" Target="https://www.uptodate.com/contents/5627#H69479232" TargetMode="External"/><Relationship Id="rId175" Type="http://schemas.openxmlformats.org/officeDocument/2006/relationships/hyperlink" Target="https://www.uptodate.com/contents/7838#H2798707315" TargetMode="External"/><Relationship Id="rId39" Type="http://schemas.openxmlformats.org/officeDocument/2006/relationships/hyperlink" Target="https://www.uptodate.com/contents/5627#H2582709613" TargetMode="External"/><Relationship Id="rId174" Type="http://schemas.openxmlformats.org/officeDocument/2006/relationships/hyperlink" Target="https://www.uptodate.com/contents/7838#H3985795236" TargetMode="External"/><Relationship Id="rId38" Type="http://schemas.openxmlformats.org/officeDocument/2006/relationships/hyperlink" Target="https://www.uptodate.com/contents/5627#H30" TargetMode="External"/><Relationship Id="rId173" Type="http://schemas.openxmlformats.org/officeDocument/2006/relationships/hyperlink" Target="https://www.uptodate.com/contents/7838#H27" TargetMode="External"/><Relationship Id="rId179" Type="http://schemas.openxmlformats.org/officeDocument/2006/relationships/hyperlink" Target="https://www.uptodate.com/contents/image?imageKey=90173&amp;source=expert-ai&amp;graphic-type=table" TargetMode="External"/><Relationship Id="rId178" Type="http://schemas.openxmlformats.org/officeDocument/2006/relationships/hyperlink" Target="https://www.uptodate.com/contents/7838#H1038011785" TargetMode="External"/><Relationship Id="rId177" Type="http://schemas.openxmlformats.org/officeDocument/2006/relationships/hyperlink" Target="https://www.uptodate.com/contents/7838#H27" TargetMode="External"/><Relationship Id="rId20" Type="http://schemas.openxmlformats.org/officeDocument/2006/relationships/hyperlink" Target="https://www.uptodate.com/contents/8847#F50991214" TargetMode="External"/><Relationship Id="rId22" Type="http://schemas.openxmlformats.org/officeDocument/2006/relationships/hyperlink" Target="https://www.uptodate.com/contents/8847#F56788304" TargetMode="External"/><Relationship Id="rId21" Type="http://schemas.openxmlformats.org/officeDocument/2006/relationships/hyperlink" Target="https://uptodate.com/contents/8847" TargetMode="External"/><Relationship Id="rId24" Type="http://schemas.openxmlformats.org/officeDocument/2006/relationships/hyperlink" Target="https://www.uptodate.com/contents/8847#F56788304" TargetMode="External"/><Relationship Id="rId23" Type="http://schemas.openxmlformats.org/officeDocument/2006/relationships/hyperlink" Target="https://uptodate.com/contents/8847" TargetMode="External"/><Relationship Id="rId26" Type="http://schemas.openxmlformats.org/officeDocument/2006/relationships/hyperlink" Target="https://www.uptodate.com/contents/8847#F148409" TargetMode="External"/><Relationship Id="rId25" Type="http://schemas.openxmlformats.org/officeDocument/2006/relationships/hyperlink" Target="https://www.uptodate.com/contents/8847#F5708651" TargetMode="External"/><Relationship Id="rId28" Type="http://schemas.openxmlformats.org/officeDocument/2006/relationships/hyperlink" Target="https://www.uptodate.com/contents/5627#H554437026" TargetMode="External"/><Relationship Id="rId27" Type="http://schemas.openxmlformats.org/officeDocument/2006/relationships/hyperlink" Target="https://uptodate.com/contents/8847" TargetMode="External"/><Relationship Id="rId29" Type="http://schemas.openxmlformats.org/officeDocument/2006/relationships/hyperlink" Target="https://www.uptodate.com/contents/118590#H3160566577" TargetMode="External"/><Relationship Id="rId11" Type="http://schemas.openxmlformats.org/officeDocument/2006/relationships/hyperlink" Target="https://www.uptodate.com/contents/5627#H554437026" TargetMode="External"/><Relationship Id="rId10" Type="http://schemas.openxmlformats.org/officeDocument/2006/relationships/hyperlink" Target="https://www.uptodate.com/contents/5627#H554437026" TargetMode="External"/><Relationship Id="rId13" Type="http://schemas.openxmlformats.org/officeDocument/2006/relationships/hyperlink" Target="https://uptodate.com/contents/8847" TargetMode="External"/><Relationship Id="rId12" Type="http://schemas.openxmlformats.org/officeDocument/2006/relationships/hyperlink" Target="https://www.uptodate.com/contents/118590#H3160566577" TargetMode="External"/><Relationship Id="rId15" Type="http://schemas.openxmlformats.org/officeDocument/2006/relationships/hyperlink" Target="https://uptodate.com/contents/8847" TargetMode="External"/><Relationship Id="rId198" Type="http://schemas.openxmlformats.org/officeDocument/2006/relationships/hyperlink" Target="https://www.uptodate.com/contents/7838#H27" TargetMode="External"/><Relationship Id="rId14" Type="http://schemas.openxmlformats.org/officeDocument/2006/relationships/hyperlink" Target="https://uptodate.com/contents/8847" TargetMode="External"/><Relationship Id="rId197" Type="http://schemas.openxmlformats.org/officeDocument/2006/relationships/hyperlink" Target="https://www.uptodate.com/contents/7838#H2798707315" TargetMode="External"/><Relationship Id="rId17" Type="http://schemas.openxmlformats.org/officeDocument/2006/relationships/hyperlink" Target="https://uptodate.com/contents/8847" TargetMode="External"/><Relationship Id="rId196" Type="http://schemas.openxmlformats.org/officeDocument/2006/relationships/hyperlink" Target="https://www.uptodate.com/contents/7838#H2307197859" TargetMode="External"/><Relationship Id="rId16" Type="http://schemas.openxmlformats.org/officeDocument/2006/relationships/hyperlink" Target="https://www.uptodate.com/contents/8847#F50991214" TargetMode="External"/><Relationship Id="rId195" Type="http://schemas.openxmlformats.org/officeDocument/2006/relationships/hyperlink" Target="https://ai.uptodate.com/" TargetMode="External"/><Relationship Id="rId19" Type="http://schemas.openxmlformats.org/officeDocument/2006/relationships/hyperlink" Target="https://uptodate.com/contents/8847" TargetMode="External"/><Relationship Id="rId18" Type="http://schemas.openxmlformats.org/officeDocument/2006/relationships/hyperlink" Target="https://www.uptodate.com/contents/8847#F50991214" TargetMode="External"/><Relationship Id="rId199" Type="http://schemas.openxmlformats.org/officeDocument/2006/relationships/hyperlink" Target="https://www.uptodate.com/contents/7838#H3985795236" TargetMode="External"/><Relationship Id="rId84" Type="http://schemas.openxmlformats.org/officeDocument/2006/relationships/hyperlink" Target="https://www.uptodate.com/contents/5627#H1569542966" TargetMode="External"/><Relationship Id="rId83" Type="http://schemas.openxmlformats.org/officeDocument/2006/relationships/hyperlink" Target="https://www.uptodate.com/contents/8847#F148373" TargetMode="External"/><Relationship Id="rId86" Type="http://schemas.openxmlformats.org/officeDocument/2006/relationships/hyperlink" Target="https://www.uptodate.com/contents/1750#H7" TargetMode="External"/><Relationship Id="rId85" Type="http://schemas.openxmlformats.org/officeDocument/2006/relationships/hyperlink" Target="https://www.uptodate.com/contents/5627#H918299414" TargetMode="External"/><Relationship Id="rId88" Type="http://schemas.openxmlformats.org/officeDocument/2006/relationships/hyperlink" Target="https://www.uptodate.com/contents/3101#H2814742959" TargetMode="External"/><Relationship Id="rId150" Type="http://schemas.openxmlformats.org/officeDocument/2006/relationships/hyperlink" Target="https://ai.uptodate.com/" TargetMode="External"/><Relationship Id="rId87" Type="http://schemas.openxmlformats.org/officeDocument/2006/relationships/hyperlink" Target="https://www.uptodate.com/contents/1750#H7" TargetMode="External"/><Relationship Id="rId89" Type="http://schemas.openxmlformats.org/officeDocument/2006/relationships/hyperlink" Target="https://www.uptodate.com/contents/3110#H6" TargetMode="External"/><Relationship Id="rId80" Type="http://schemas.openxmlformats.org/officeDocument/2006/relationships/hyperlink" Target="https://www.uptodate.com/contents/5627#H30" TargetMode="External"/><Relationship Id="rId82" Type="http://schemas.openxmlformats.org/officeDocument/2006/relationships/hyperlink" Target="https://www.uptodate.com/contents/8847#F148379" TargetMode="External"/><Relationship Id="rId81" Type="http://schemas.openxmlformats.org/officeDocument/2006/relationships/hyperlink" Target="https://www.uptodate.com/contents/5627#H25827096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i.uptodate.com/" TargetMode="External"/><Relationship Id="rId4" Type="http://schemas.openxmlformats.org/officeDocument/2006/relationships/numbering" Target="numbering.xml"/><Relationship Id="rId148" Type="http://schemas.openxmlformats.org/officeDocument/2006/relationships/hyperlink" Target="https://ai.uptodate.com/" TargetMode="External"/><Relationship Id="rId9" Type="http://schemas.openxmlformats.org/officeDocument/2006/relationships/hyperlink" Target="https://uptodate.com/contents/8847" TargetMode="External"/><Relationship Id="rId143" Type="http://schemas.openxmlformats.org/officeDocument/2006/relationships/hyperlink" Target="https://www.uptodate.com/contents/7838#H1038011785" TargetMode="External"/><Relationship Id="rId142" Type="http://schemas.openxmlformats.org/officeDocument/2006/relationships/hyperlink" Target="https://www.uptodate.com/contents/7838#H2798707315" TargetMode="External"/><Relationship Id="rId141" Type="http://schemas.openxmlformats.org/officeDocument/2006/relationships/hyperlink" Target="https://www.uptodate.com/contents/7838#H654572247" TargetMode="External"/><Relationship Id="rId140" Type="http://schemas.openxmlformats.org/officeDocument/2006/relationships/hyperlink" Target="https://www.uptodate.com/contents/7838#H1038011785" TargetMode="External"/><Relationship Id="rId5" Type="http://schemas.openxmlformats.org/officeDocument/2006/relationships/styles" Target="styles.xml"/><Relationship Id="rId147" Type="http://schemas.openxmlformats.org/officeDocument/2006/relationships/hyperlink" Target="https://ai.uptodate.com/" TargetMode="External"/><Relationship Id="rId6" Type="http://schemas.openxmlformats.org/officeDocument/2006/relationships/hyperlink" Target="https://uptodate.com/contents/8847" TargetMode="External"/><Relationship Id="rId146" Type="http://schemas.openxmlformats.org/officeDocument/2006/relationships/hyperlink" Target="https://ai.uptodate.com/" TargetMode="External"/><Relationship Id="rId7" Type="http://schemas.openxmlformats.org/officeDocument/2006/relationships/hyperlink" Target="https://uptodate.com/contents/8847" TargetMode="External"/><Relationship Id="rId145" Type="http://schemas.openxmlformats.org/officeDocument/2006/relationships/hyperlink" Target="https://www.uptodate.com/contents/7838#H472412926" TargetMode="External"/><Relationship Id="rId8" Type="http://schemas.openxmlformats.org/officeDocument/2006/relationships/hyperlink" Target="https://uptodate.com/contents/8847" TargetMode="External"/><Relationship Id="rId144" Type="http://schemas.openxmlformats.org/officeDocument/2006/relationships/hyperlink" Target="https://www.uptodate.com/contents/7838#H654572247" TargetMode="External"/><Relationship Id="rId73" Type="http://schemas.openxmlformats.org/officeDocument/2006/relationships/hyperlink" Target="https://www.uptodate.com/contents/8847#F148409_TN" TargetMode="External"/><Relationship Id="rId72" Type="http://schemas.openxmlformats.org/officeDocument/2006/relationships/hyperlink" Target="https://www.uptodate.com/contents/8847#F5708651" TargetMode="External"/><Relationship Id="rId75" Type="http://schemas.openxmlformats.org/officeDocument/2006/relationships/hyperlink" Target="https://www.uptodate.com/contents/5627#H3138977285" TargetMode="External"/><Relationship Id="rId74" Type="http://schemas.openxmlformats.org/officeDocument/2006/relationships/hyperlink" Target="https://www.uptodate.com/contents/5627#H2466151716" TargetMode="External"/><Relationship Id="rId77" Type="http://schemas.openxmlformats.org/officeDocument/2006/relationships/hyperlink" Target="https://www.uptodate.com/contents/5627#H2519811742" TargetMode="External"/><Relationship Id="rId76" Type="http://schemas.openxmlformats.org/officeDocument/2006/relationships/hyperlink" Target="https://www.uptodate.com/contents/5627#H339291591" TargetMode="External"/><Relationship Id="rId79" Type="http://schemas.openxmlformats.org/officeDocument/2006/relationships/hyperlink" Target="https://www.uptodate.com/contents/5627#H69479232" TargetMode="External"/><Relationship Id="rId78" Type="http://schemas.openxmlformats.org/officeDocument/2006/relationships/hyperlink" Target="https://www.uptodate.com/contents/5627#H2845581183" TargetMode="External"/><Relationship Id="rId71" Type="http://schemas.openxmlformats.org/officeDocument/2006/relationships/hyperlink" Target="https://www.uptodate.com/contents/8847#F56788304" TargetMode="External"/><Relationship Id="rId70" Type="http://schemas.openxmlformats.org/officeDocument/2006/relationships/hyperlink" Target="https://www.uptodate.com/contents/8847#F50991214" TargetMode="External"/><Relationship Id="rId139" Type="http://schemas.openxmlformats.org/officeDocument/2006/relationships/hyperlink" Target="https://www.uptodate.com/contents/image?imageKey=149837&amp;source=expert-ai&amp;graphic-type=table" TargetMode="External"/><Relationship Id="rId138" Type="http://schemas.openxmlformats.org/officeDocument/2006/relationships/hyperlink" Target="https://www.uptodate.com/contents/image?imageKey=149836&amp;source=expert-ai&amp;graphic-type=figure" TargetMode="External"/><Relationship Id="rId137" Type="http://schemas.openxmlformats.org/officeDocument/2006/relationships/hyperlink" Target="https://www.uptodate.com/contents/image?imageKey=150388&amp;source=expert-ai&amp;graphic-type=figure" TargetMode="External"/><Relationship Id="rId132" Type="http://schemas.openxmlformats.org/officeDocument/2006/relationships/hyperlink" Target="https://www.uptodate.com/contents/image?imageKey=149836&amp;source=expert-ai&amp;graphic-type=figure" TargetMode="External"/><Relationship Id="rId131" Type="http://schemas.openxmlformats.org/officeDocument/2006/relationships/hyperlink" Target="https://www.uptodate.com/contents/7838#H472412926" TargetMode="External"/><Relationship Id="rId130" Type="http://schemas.openxmlformats.org/officeDocument/2006/relationships/hyperlink" Target="https://www.uptodate.com/contents/7838#H654572247" TargetMode="External"/><Relationship Id="rId136" Type="http://schemas.openxmlformats.org/officeDocument/2006/relationships/hyperlink" Target="https://www.uptodate.com/contents/image?imageKey=89724&amp;source=expert-ai&amp;graphic-type=table" TargetMode="External"/><Relationship Id="rId135" Type="http://schemas.openxmlformats.org/officeDocument/2006/relationships/hyperlink" Target="https://www.uptodate.com/contents/7838#H654572247" TargetMode="External"/><Relationship Id="rId134" Type="http://schemas.openxmlformats.org/officeDocument/2006/relationships/hyperlink" Target="https://www.uptodate.com/contents/7838#H1038011785" TargetMode="External"/><Relationship Id="rId133" Type="http://schemas.openxmlformats.org/officeDocument/2006/relationships/hyperlink" Target="https://www.uptodate.com/contents/image?imageKey=149837&amp;source=expert-ai&amp;graphic-type=table" TargetMode="External"/><Relationship Id="rId62" Type="http://schemas.openxmlformats.org/officeDocument/2006/relationships/hyperlink" Target="https://ai.uptodate.com/" TargetMode="External"/><Relationship Id="rId61" Type="http://schemas.openxmlformats.org/officeDocument/2006/relationships/hyperlink" Target="https://www.uptodate.com/contents/5627#H918299414" TargetMode="External"/><Relationship Id="rId64" Type="http://schemas.openxmlformats.org/officeDocument/2006/relationships/hyperlink" Target="https://ai.uptodate.com/" TargetMode="External"/><Relationship Id="rId63" Type="http://schemas.openxmlformats.org/officeDocument/2006/relationships/hyperlink" Target="https://ai.uptodate.com/" TargetMode="External"/><Relationship Id="rId66" Type="http://schemas.openxmlformats.org/officeDocument/2006/relationships/hyperlink" Target="https://ai.uptodate.com/" TargetMode="External"/><Relationship Id="rId172" Type="http://schemas.openxmlformats.org/officeDocument/2006/relationships/hyperlink" Target="https://www.uptodate.com/contents/7838#H27" TargetMode="External"/><Relationship Id="rId65" Type="http://schemas.openxmlformats.org/officeDocument/2006/relationships/hyperlink" Target="https://ai.uptodate.com/" TargetMode="External"/><Relationship Id="rId171" Type="http://schemas.openxmlformats.org/officeDocument/2006/relationships/hyperlink" Target="https://www.uptodate.com/contents/7838#H3985795236" TargetMode="External"/><Relationship Id="rId68" Type="http://schemas.openxmlformats.org/officeDocument/2006/relationships/hyperlink" Target="https://www.uptodate.com/contents/5627#H554437026" TargetMode="External"/><Relationship Id="rId170" Type="http://schemas.openxmlformats.org/officeDocument/2006/relationships/hyperlink" Target="https://www.uptodate.com/contents/7838#H3985795236" TargetMode="External"/><Relationship Id="rId67" Type="http://schemas.openxmlformats.org/officeDocument/2006/relationships/hyperlink" Target="https://ai.uptodate.com/" TargetMode="External"/><Relationship Id="rId60" Type="http://schemas.openxmlformats.org/officeDocument/2006/relationships/hyperlink" Target="https://www.uptodate.com/contents/5627#H1569542966" TargetMode="External"/><Relationship Id="rId165" Type="http://schemas.openxmlformats.org/officeDocument/2006/relationships/hyperlink" Target="https://www.uptodate.com/contents/7838#H2798707315" TargetMode="External"/><Relationship Id="rId69" Type="http://schemas.openxmlformats.org/officeDocument/2006/relationships/hyperlink" Target="https://www.uptodate.com/contents/118590#H3160566577" TargetMode="External"/><Relationship Id="rId164" Type="http://schemas.openxmlformats.org/officeDocument/2006/relationships/hyperlink" Target="https://www.uptodate.com/contents/7838#H2798707315" TargetMode="External"/><Relationship Id="rId163" Type="http://schemas.openxmlformats.org/officeDocument/2006/relationships/hyperlink" Target="https://www.uptodate.com/contents/7838#H27" TargetMode="External"/><Relationship Id="rId162" Type="http://schemas.openxmlformats.org/officeDocument/2006/relationships/hyperlink" Target="https://www.uptodate.com/contents/7838#H2798707315" TargetMode="External"/><Relationship Id="rId169" Type="http://schemas.openxmlformats.org/officeDocument/2006/relationships/hyperlink" Target="https://www.uptodate.com/contents/7838#H27" TargetMode="External"/><Relationship Id="rId168" Type="http://schemas.openxmlformats.org/officeDocument/2006/relationships/hyperlink" Target="https://www.uptodate.com/contents/7838#H2798707315" TargetMode="External"/><Relationship Id="rId167" Type="http://schemas.openxmlformats.org/officeDocument/2006/relationships/hyperlink" Target="https://www.uptodate.com/contents/7838#H2798707315" TargetMode="External"/><Relationship Id="rId166" Type="http://schemas.openxmlformats.org/officeDocument/2006/relationships/hyperlink" Target="https://www.uptodate.com/contents/7838#H27" TargetMode="External"/><Relationship Id="rId51" Type="http://schemas.openxmlformats.org/officeDocument/2006/relationships/hyperlink" Target="https://www.uptodate.com/contents/5627#H554437026" TargetMode="External"/><Relationship Id="rId50" Type="http://schemas.openxmlformats.org/officeDocument/2006/relationships/hyperlink" Target="https://uptodate.com/contents/8847" TargetMode="External"/><Relationship Id="rId53" Type="http://schemas.openxmlformats.org/officeDocument/2006/relationships/hyperlink" Target="https://uptodate.com/contents/8847" TargetMode="External"/><Relationship Id="rId52" Type="http://schemas.openxmlformats.org/officeDocument/2006/relationships/hyperlink" Target="https://www.uptodate.com/contents/118590#H3160566577" TargetMode="External"/><Relationship Id="rId55" Type="http://schemas.openxmlformats.org/officeDocument/2006/relationships/hyperlink" Target="https://uptodate.com/contents/8847" TargetMode="External"/><Relationship Id="rId161" Type="http://schemas.openxmlformats.org/officeDocument/2006/relationships/hyperlink" Target="https://www.uptodate.com/contents/7838#H2307197859" TargetMode="External"/><Relationship Id="rId54" Type="http://schemas.openxmlformats.org/officeDocument/2006/relationships/hyperlink" Target="https://www.uptodate.com/contents/8847#F50991214" TargetMode="External"/><Relationship Id="rId160" Type="http://schemas.openxmlformats.org/officeDocument/2006/relationships/hyperlink" Target="https://www.uptodate.com/contents/7838#H2307197859" TargetMode="External"/><Relationship Id="rId57" Type="http://schemas.openxmlformats.org/officeDocument/2006/relationships/hyperlink" Target="https://www.uptodate.com/contents/8847#F5708651" TargetMode="External"/><Relationship Id="rId56" Type="http://schemas.openxmlformats.org/officeDocument/2006/relationships/hyperlink" Target="https://www.uptodate.com/contents/8847#F56788304" TargetMode="External"/><Relationship Id="rId159" Type="http://schemas.openxmlformats.org/officeDocument/2006/relationships/hyperlink" Target="https://www.uptodate.com/contents/7838#H472412926" TargetMode="External"/><Relationship Id="rId59" Type="http://schemas.openxmlformats.org/officeDocument/2006/relationships/hyperlink" Target="https://www.uptodate.com/contents/5627#H30" TargetMode="External"/><Relationship Id="rId154" Type="http://schemas.openxmlformats.org/officeDocument/2006/relationships/hyperlink" Target="https://www.uptodate.com/contents/7838#H3985795236" TargetMode="External"/><Relationship Id="rId58" Type="http://schemas.openxmlformats.org/officeDocument/2006/relationships/hyperlink" Target="https://www.uptodate.com/contents/5627#H2466151716" TargetMode="External"/><Relationship Id="rId153" Type="http://schemas.openxmlformats.org/officeDocument/2006/relationships/hyperlink" Target="https://www.uptodate.com/contents/7838#H1599683476" TargetMode="External"/><Relationship Id="rId152" Type="http://schemas.openxmlformats.org/officeDocument/2006/relationships/hyperlink" Target="https://www.uptodate.com/contents/7838#H1038011785" TargetMode="External"/><Relationship Id="rId151" Type="http://schemas.openxmlformats.org/officeDocument/2006/relationships/hyperlink" Target="https://www.uptodate.com/contents/7838#H2798707315" TargetMode="External"/><Relationship Id="rId158" Type="http://schemas.openxmlformats.org/officeDocument/2006/relationships/hyperlink" Target="https://www.uptodate.com/contents/7838#H654572247" TargetMode="External"/><Relationship Id="rId157" Type="http://schemas.openxmlformats.org/officeDocument/2006/relationships/hyperlink" Target="https://www.uptodate.com/contents/7838#H2307197859" TargetMode="External"/><Relationship Id="rId156" Type="http://schemas.openxmlformats.org/officeDocument/2006/relationships/hyperlink" Target="https://www.uptodate.com/contents/7838#H1244923915" TargetMode="External"/><Relationship Id="rId155" Type="http://schemas.openxmlformats.org/officeDocument/2006/relationships/hyperlink" Target="https://www.uptodate.com/contents/7838#H1414198160" TargetMode="External"/><Relationship Id="rId107" Type="http://schemas.openxmlformats.org/officeDocument/2006/relationships/hyperlink" Target="https://ai.uptodate.com/" TargetMode="External"/><Relationship Id="rId106" Type="http://schemas.openxmlformats.org/officeDocument/2006/relationships/hyperlink" Target="https://ai.uptodate.com/" TargetMode="External"/><Relationship Id="rId105" Type="http://schemas.openxmlformats.org/officeDocument/2006/relationships/hyperlink" Target="https://ai.uptodate.com/" TargetMode="External"/><Relationship Id="rId104" Type="http://schemas.openxmlformats.org/officeDocument/2006/relationships/hyperlink" Target="https://ai.uptodate.com/" TargetMode="External"/><Relationship Id="rId109" Type="http://schemas.openxmlformats.org/officeDocument/2006/relationships/hyperlink" Target="https://www.uptodate.com/contents/1750#H7" TargetMode="External"/><Relationship Id="rId108" Type="http://schemas.openxmlformats.org/officeDocument/2006/relationships/hyperlink" Target="https://ai.uptodate.com/" TargetMode="External"/><Relationship Id="rId103" Type="http://schemas.openxmlformats.org/officeDocument/2006/relationships/hyperlink" Target="https://www.uptodate.com/contents/1750#H7" TargetMode="External"/><Relationship Id="rId102" Type="http://schemas.openxmlformats.org/officeDocument/2006/relationships/hyperlink" Target="https://www.uptodate.com/contents/1750#H7" TargetMode="External"/><Relationship Id="rId101" Type="http://schemas.openxmlformats.org/officeDocument/2006/relationships/hyperlink" Target="https://www.uptodate.com/contents/1506#H4482421" TargetMode="External"/><Relationship Id="rId100" Type="http://schemas.openxmlformats.org/officeDocument/2006/relationships/hyperlink" Target="https://www.uptodate.com/contents/1506#H4482421" TargetMode="External"/><Relationship Id="rId129" Type="http://schemas.openxmlformats.org/officeDocument/2006/relationships/hyperlink" Target="https://www.uptodate.com/contents/7838#H2307197859" TargetMode="External"/><Relationship Id="rId128" Type="http://schemas.openxmlformats.org/officeDocument/2006/relationships/hyperlink" Target="https://www.uptodate.com/contents/7838#H1244923915" TargetMode="External"/><Relationship Id="rId127" Type="http://schemas.openxmlformats.org/officeDocument/2006/relationships/hyperlink" Target="https://www.uptodate.com/contents/7838#H1414198160" TargetMode="External"/><Relationship Id="rId126" Type="http://schemas.openxmlformats.org/officeDocument/2006/relationships/hyperlink" Target="https://www.uptodate.com/contents/7838#H3985795236" TargetMode="External"/><Relationship Id="rId121" Type="http://schemas.openxmlformats.org/officeDocument/2006/relationships/hyperlink" Target="https://www.uptodate.com/contents/7838#H1038011785" TargetMode="External"/><Relationship Id="rId120" Type="http://schemas.openxmlformats.org/officeDocument/2006/relationships/hyperlink" Target="https://www.uptodate.com/contents/7838#H2798707315" TargetMode="External"/><Relationship Id="rId125" Type="http://schemas.openxmlformats.org/officeDocument/2006/relationships/hyperlink" Target="https://www.uptodate.com/contents/7838#H1599683476" TargetMode="External"/><Relationship Id="rId124" Type="http://schemas.openxmlformats.org/officeDocument/2006/relationships/hyperlink" Target="https://www.uptodate.com/contents/7838#H1038011785" TargetMode="External"/><Relationship Id="rId123" Type="http://schemas.openxmlformats.org/officeDocument/2006/relationships/hyperlink" Target="https://www.uptodate.com/contents/7838#H1038011785" TargetMode="External"/><Relationship Id="rId122" Type="http://schemas.openxmlformats.org/officeDocument/2006/relationships/hyperlink" Target="https://www.uptodate.com/contents/image?imageKey=150388&amp;source=expert-ai&amp;graphic-type=figure" TargetMode="External"/><Relationship Id="rId95" Type="http://schemas.openxmlformats.org/officeDocument/2006/relationships/hyperlink" Target="https://www.uptodate.com/contents/1545#H4" TargetMode="External"/><Relationship Id="rId94" Type="http://schemas.openxmlformats.org/officeDocument/2006/relationships/hyperlink" Target="https://www.uptodate.com/contents/3089#H4" TargetMode="External"/><Relationship Id="rId97" Type="http://schemas.openxmlformats.org/officeDocument/2006/relationships/hyperlink" Target="https://www.uptodate.com/contents/3110#H6" TargetMode="External"/><Relationship Id="rId96" Type="http://schemas.openxmlformats.org/officeDocument/2006/relationships/hyperlink" Target="https://www.uptodate.com/contents/3110#H6" TargetMode="External"/><Relationship Id="rId99" Type="http://schemas.openxmlformats.org/officeDocument/2006/relationships/hyperlink" Target="https://www.uptodate.com/contents/1545#H6" TargetMode="External"/><Relationship Id="rId98" Type="http://schemas.openxmlformats.org/officeDocument/2006/relationships/hyperlink" Target="https://www.uptodate.com/contents/3089#H382921045" TargetMode="External"/><Relationship Id="rId91" Type="http://schemas.openxmlformats.org/officeDocument/2006/relationships/hyperlink" Target="https://www.uptodate.com/contents/1545#H6" TargetMode="External"/><Relationship Id="rId90" Type="http://schemas.openxmlformats.org/officeDocument/2006/relationships/hyperlink" Target="https://www.uptodate.com/contents/3089#H382921045" TargetMode="External"/><Relationship Id="rId93" Type="http://schemas.openxmlformats.org/officeDocument/2006/relationships/hyperlink" Target="https://www.uptodate.com/contents/3110#H4" TargetMode="External"/><Relationship Id="rId92" Type="http://schemas.openxmlformats.org/officeDocument/2006/relationships/hyperlink" Target="https://www.uptodate.com/contents/3110#H4" TargetMode="External"/><Relationship Id="rId118" Type="http://schemas.openxmlformats.org/officeDocument/2006/relationships/hyperlink" Target="https://www.uptodate.com/contents/7838#H2798707315" TargetMode="External"/><Relationship Id="rId117" Type="http://schemas.openxmlformats.org/officeDocument/2006/relationships/hyperlink" Target="https://www.uptodate.com/contents/1506#H4482421" TargetMode="External"/><Relationship Id="rId116" Type="http://schemas.openxmlformats.org/officeDocument/2006/relationships/hyperlink" Target="https://www.uptodate.com/contents/1545#H4" TargetMode="External"/><Relationship Id="rId115" Type="http://schemas.openxmlformats.org/officeDocument/2006/relationships/hyperlink" Target="https://www.uptodate.com/contents/3089#H4" TargetMode="External"/><Relationship Id="rId119" Type="http://schemas.openxmlformats.org/officeDocument/2006/relationships/hyperlink" Target="https://uptodate.com/contents/9557" TargetMode="External"/><Relationship Id="rId110" Type="http://schemas.openxmlformats.org/officeDocument/2006/relationships/hyperlink" Target="https://www.uptodate.com/contents/3101#H2814742959" TargetMode="External"/><Relationship Id="rId114" Type="http://schemas.openxmlformats.org/officeDocument/2006/relationships/hyperlink" Target="https://www.uptodate.com/contents/3110#H4" TargetMode="External"/><Relationship Id="rId113" Type="http://schemas.openxmlformats.org/officeDocument/2006/relationships/hyperlink" Target="https://www.uptodate.com/contents/1545#H6" TargetMode="External"/><Relationship Id="rId112" Type="http://schemas.openxmlformats.org/officeDocument/2006/relationships/hyperlink" Target="https://www.uptodate.com/contents/3089#H382921045" TargetMode="External"/><Relationship Id="rId111" Type="http://schemas.openxmlformats.org/officeDocument/2006/relationships/hyperlink" Target="https://www.uptodate.com/contents/3110#H6" TargetMode="External"/><Relationship Id="rId200" Type="http://schemas.openxmlformats.org/officeDocument/2006/relationships/hyperlink" Target="https://www.uptodate.com/contents/7838#H1038011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