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3fldmyx7x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65</w:t>
      </w:r>
      <w:r w:rsidDel="00000000" w:rsidR="00000000" w:rsidRPr="00000000">
        <w:rPr>
          <w:rtl w:val="0"/>
        </w:rPr>
      </w:r>
    </w:p>
    <w:p w:rsidR="00000000" w:rsidDel="00000000" w:rsidP="00000000" w:rsidRDefault="00000000" w:rsidRPr="00000000" w14:paraId="00000002">
      <w:pPr>
        <w:shd w:fill="ffffff" w:val="clear"/>
        <w:spacing w:line="309.6" w:lineRule="auto"/>
        <w:rPr>
          <w:color w:val="353535"/>
          <w:sz w:val="24"/>
          <w:szCs w:val="24"/>
        </w:rPr>
      </w:pPr>
      <w:r w:rsidDel="00000000" w:rsidR="00000000" w:rsidRPr="00000000">
        <w:rPr>
          <w:color w:val="353535"/>
          <w:sz w:val="24"/>
          <w:szCs w:val="24"/>
          <w:rtl w:val="0"/>
        </w:rPr>
        <w:t xml:space="preserve">CLINICAL CASE ALERT</w:t>
      </w:r>
    </w:p>
    <w:p w:rsidR="00000000" w:rsidDel="00000000" w:rsidP="00000000" w:rsidRDefault="00000000" w:rsidRPr="00000000" w14:paraId="00000003">
      <w:pPr>
        <w:shd w:fill="ffffff" w:val="clear"/>
        <w:spacing w:line="390" w:lineRule="auto"/>
        <w:rPr>
          <w:color w:val="232323"/>
          <w:sz w:val="24"/>
          <w:szCs w:val="24"/>
        </w:rPr>
      </w:pPr>
      <w:r w:rsidDel="00000000" w:rsidR="00000000" w:rsidRPr="00000000">
        <w:rPr>
          <w:color w:val="232323"/>
          <w:sz w:val="24"/>
          <w:szCs w:val="24"/>
          <w:rtl w:val="0"/>
        </w:rPr>
        <w:t xml:space="preserve">Clinical judgement required: AI can provide general information but may not fully account for clinical nuance or patient-specific factors and may contain errors. Think critically. Use this information as a starting point, not a substitute for clinical judgement.</w:t>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ASSUMPTIONS: You are asking about the next diagnostic step for a patient presenting with postmenopausal bleeding. I am assuming the patient is hemodynamically stable and not currently on hormone therapy, and that the goal is to exclude endometrial carcinoma or premalignant disease.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390" w:lineRule="auto"/>
        <w:rPr>
          <w:color w:val="232323"/>
          <w:sz w:val="24"/>
          <w:szCs w:val="24"/>
        </w:rPr>
      </w:pPr>
      <w:r w:rsidDel="00000000" w:rsidR="00000000" w:rsidRPr="00000000">
        <w:rPr>
          <w:color w:val="232323"/>
          <w:sz w:val="24"/>
          <w:szCs w:val="24"/>
          <w:rtl w:val="0"/>
        </w:rPr>
        <w:t xml:space="preserve">For postmenopausal patients with uterine bleeding, either endometrial sampling (biopsy) or transvaginal ultrasound (TVUS) can be used as the first diagnostic step to evaluate the endometrium</w:t>
      </w:r>
      <w:hyperlink r:id="rId6">
        <w:r w:rsidDel="00000000" w:rsidR="00000000" w:rsidRPr="00000000">
          <w:rPr>
            <w:color w:val="232323"/>
            <w:sz w:val="24"/>
            <w:szCs w:val="24"/>
            <w:rtl w:val="0"/>
          </w:rPr>
          <w:t xml:space="preserve"> [1]</w:t>
        </w:r>
      </w:hyperlink>
      <w:hyperlink r:id="rId7">
        <w:r w:rsidDel="00000000" w:rsidR="00000000" w:rsidRPr="00000000">
          <w:rPr>
            <w:color w:val="232323"/>
            <w:sz w:val="24"/>
            <w:szCs w:val="24"/>
            <w:rtl w:val="0"/>
          </w:rPr>
          <w:t xml:space="preserve">[2]</w:t>
        </w:r>
      </w:hyperlink>
      <w:hyperlink r:id="rId8">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 The choice between these tests is often practice dependent:</w:t>
      </w:r>
    </w:p>
    <w:p w:rsidR="00000000" w:rsidDel="00000000" w:rsidP="00000000" w:rsidRDefault="00000000" w:rsidRPr="00000000" w14:paraId="00000007">
      <w:pPr>
        <w:numPr>
          <w:ilvl w:val="0"/>
          <w:numId w:val="10"/>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Endometrial biopsy is commonly performed first due to its high sensitivity, low complication rate, and low cost. If the biopsy is benign but bleeding persists, or if the biopsy is nondiagnostic and suspicion for cancer remains, further assessment with dilation and curettage (D&amp;C), hysteroscopy, or TVUS is indicated </w:t>
      </w:r>
      <w:hyperlink r:id="rId9">
        <w:r w:rsidDel="00000000" w:rsidR="00000000" w:rsidRPr="00000000">
          <w:rPr>
            <w:color w:val="232323"/>
            <w:sz w:val="24"/>
            <w:szCs w:val="24"/>
            <w:rtl w:val="0"/>
          </w:rPr>
          <w:t xml:space="preserve">[1]</w:t>
        </w:r>
      </w:hyperlink>
      <w:hyperlink r:id="rId10">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0"/>
        </w:numPr>
        <w:spacing w:after="240" w:before="0" w:beforeAutospacing="0" w:line="390" w:lineRule="auto"/>
        <w:ind w:left="72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TVUS is a reasonable initial test, especially if office biopsy cannot be performed, structural uterine pathology (e.g., polyp, leiomyoma) is suspected, or evaluation of the adnexa is needed. If TVUS shows a thin (≤4 mm), homogeneous endometrium, endometrial carcinoma can reasonably be excluded (</w:t>
      </w:r>
      <w:hyperlink r:id="rId11">
        <w:r w:rsidDel="00000000" w:rsidR="00000000" w:rsidRPr="00000000">
          <w:rPr>
            <w:color w:val="232323"/>
            <w:sz w:val="24"/>
            <w:szCs w:val="24"/>
            <w:rtl w:val="0"/>
          </w:rPr>
          <w:t xml:space="preserve"> Postmenopausal thin endometrium</w:t>
        </w:r>
      </w:hyperlink>
      <w:r w:rsidDel="00000000" w:rsidR="00000000" w:rsidRPr="00000000">
        <w:rPr>
          <w:color w:val="232323"/>
          <w:sz w:val="24"/>
          <w:szCs w:val="24"/>
          <w:rtl w:val="0"/>
        </w:rPr>
        <w:t xml:space="preserve">) </w:t>
      </w:r>
      <w:hyperlink r:id="rId12">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 If the endometrial lining is &gt;4 mm (</w:t>
      </w:r>
      <w:hyperlink r:id="rId13">
        <w:r w:rsidDel="00000000" w:rsidR="00000000" w:rsidRPr="00000000">
          <w:rPr>
            <w:color w:val="232323"/>
            <w:sz w:val="24"/>
            <w:szCs w:val="24"/>
            <w:rtl w:val="0"/>
          </w:rPr>
          <w:t xml:space="preserve"> Transvaginal image of postmenopausal thick endometrium</w:t>
        </w:r>
      </w:hyperlink>
      <w:r w:rsidDel="00000000" w:rsidR="00000000" w:rsidRPr="00000000">
        <w:rPr>
          <w:color w:val="232323"/>
          <w:sz w:val="24"/>
          <w:szCs w:val="24"/>
          <w:rtl w:val="0"/>
        </w:rPr>
        <w:t xml:space="preserve">), is not adequately visualized, or shows heterogeneity, or if bleeding persists, further evaluation with endometrial sampling is required </w:t>
      </w:r>
      <w:hyperlink r:id="rId14">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9">
      <w:pPr>
        <w:spacing w:line="390" w:lineRule="auto"/>
        <w:rPr>
          <w:color w:val="232323"/>
          <w:sz w:val="24"/>
          <w:szCs w:val="24"/>
        </w:rPr>
      </w:pPr>
      <w:r w:rsidDel="00000000" w:rsidR="00000000" w:rsidRPr="00000000">
        <w:rPr>
          <w:color w:val="232323"/>
          <w:sz w:val="24"/>
          <w:szCs w:val="24"/>
          <w:rtl w:val="0"/>
        </w:rPr>
        <w:t xml:space="preserve">All patients with postmenopausal bleeding should also have an evaluation for cervical cancer, including biopsy of any visible cervical lesions</w:t>
      </w:r>
      <w:hyperlink r:id="rId15">
        <w:r w:rsidDel="00000000" w:rsidR="00000000" w:rsidRPr="00000000">
          <w:rPr>
            <w:color w:val="232323"/>
            <w:sz w:val="24"/>
            <w:szCs w:val="24"/>
            <w:rtl w:val="0"/>
          </w:rPr>
          <w:t xml:space="preserve"> [4]</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pacing w:after="40" w:before="460" w:line="346.66666666666663" w:lineRule="auto"/>
        <w:rPr>
          <w:b w:val="1"/>
          <w:bCs w:val="1"/>
          <w:color w:val="232323"/>
          <w:sz w:val="27"/>
          <w:szCs w:val="27"/>
        </w:rPr>
      </w:pPr>
      <w:bookmarkStart w:colFirst="0" w:colLast="0" w:name="_pqvw13h02fvl" w:id="1"/>
      <w:bookmarkEnd w:id="1"/>
      <w:r w:rsidDel="00000000" w:rsidR="00000000" w:rsidRPr="00000000">
        <w:rPr>
          <w:b w:val="1"/>
          <w:bCs w:val="1"/>
          <w:color w:val="232323"/>
          <w:sz w:val="27"/>
          <w:szCs w:val="27"/>
          <w:rtl w:val="0"/>
        </w:rPr>
        <w:t xml:space="preserve">Key Steps in Diagnostic Evaluation of Postmenopausal Bleeding</w:t>
      </w:r>
    </w:p>
    <w:p w:rsidR="00000000" w:rsidDel="00000000" w:rsidP="00000000" w:rsidRDefault="00000000" w:rsidRPr="00000000" w14:paraId="0000000B">
      <w:pPr>
        <w:numPr>
          <w:ilvl w:val="0"/>
          <w:numId w:val="2"/>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Exclude endometrial carcinoma or premalignant disease with endometrial biopsy or TVUS as the initial step </w:t>
      </w:r>
      <w:hyperlink r:id="rId16">
        <w:r w:rsidDel="00000000" w:rsidR="00000000" w:rsidRPr="00000000">
          <w:rPr>
            <w:color w:val="232323"/>
            <w:sz w:val="24"/>
            <w:szCs w:val="24"/>
            <w:rtl w:val="0"/>
          </w:rPr>
          <w:t xml:space="preserve">[1]</w:t>
        </w:r>
      </w:hyperlink>
      <w:hyperlink r:id="rId17">
        <w:r w:rsidDel="00000000" w:rsidR="00000000" w:rsidRPr="00000000">
          <w:rPr>
            <w:color w:val="232323"/>
            <w:sz w:val="24"/>
            <w:szCs w:val="24"/>
            <w:rtl w:val="0"/>
          </w:rPr>
          <w:t xml:space="preserve">[2]</w:t>
        </w:r>
      </w:hyperlink>
      <w:hyperlink r:id="rId18">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2"/>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Evaluate for cervical cancer with examination and biopsy of any visible lesions </w:t>
      </w:r>
      <w:hyperlink r:id="rId19">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2"/>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If initial testing is nondiagnostic or bleeding persists, proceed to D&amp;C, hysteroscopy, or additional imaging as appropriate </w:t>
      </w:r>
      <w:hyperlink r:id="rId20">
        <w:r w:rsidDel="00000000" w:rsidR="00000000" w:rsidRPr="00000000">
          <w:rPr>
            <w:color w:val="232323"/>
            <w:sz w:val="24"/>
            <w:szCs w:val="24"/>
            <w:rtl w:val="0"/>
          </w:rPr>
          <w:t xml:space="preserve">[1]</w:t>
        </w:r>
      </w:hyperlink>
      <w:hyperlink r:id="rId21">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pacing w:after="40" w:before="460" w:line="346.66666666666663" w:lineRule="auto"/>
        <w:rPr>
          <w:b w:val="1"/>
          <w:bCs w:val="1"/>
          <w:color w:val="232323"/>
          <w:sz w:val="27"/>
          <w:szCs w:val="27"/>
        </w:rPr>
      </w:pPr>
      <w:bookmarkStart w:colFirst="0" w:colLast="0" w:name="_rep0yms9683n" w:id="2"/>
      <w:bookmarkEnd w:id="2"/>
      <w:r w:rsidDel="00000000" w:rsidR="00000000" w:rsidRPr="00000000">
        <w:rPr>
          <w:b w:val="1"/>
          <w:bCs w:val="1"/>
          <w:color w:val="232323"/>
          <w:sz w:val="27"/>
          <w:szCs w:val="27"/>
          <w:rtl w:val="0"/>
        </w:rPr>
        <w:t xml:space="preserve">Key Points</w:t>
      </w:r>
    </w:p>
    <w:p w:rsidR="00000000" w:rsidDel="00000000" w:rsidP="00000000" w:rsidRDefault="00000000" w:rsidRPr="00000000" w14:paraId="0000000F">
      <w:pPr>
        <w:numPr>
          <w:ilvl w:val="0"/>
          <w:numId w:val="1"/>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Any episode of postmenopausal bleeding is abnormal and warrants evaluation </w:t>
      </w:r>
      <w:hyperlink r:id="rId22">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The most common causes are endometrial polyps and atrophy, but malignancy must be excluded </w:t>
      </w:r>
      <w:hyperlink r:id="rId23">
        <w:r w:rsidDel="00000000" w:rsidR="00000000" w:rsidRPr="00000000">
          <w:rPr>
            <w:color w:val="232323"/>
            <w:sz w:val="24"/>
            <w:szCs w:val="24"/>
            <w:rtl w:val="0"/>
          </w:rPr>
          <w:t xml:space="preserve">[6]</w:t>
        </w:r>
      </w:hyperlink>
      <w:hyperlink r:id="rId24">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Endometrial carcinoma is present in approximately 6–12% of postmenopausal patients with bleeding </w:t>
      </w:r>
      <w:hyperlink r:id="rId25">
        <w:r w:rsidDel="00000000" w:rsidR="00000000" w:rsidRPr="00000000">
          <w:rPr>
            <w:color w:val="232323"/>
            <w:sz w:val="24"/>
            <w:szCs w:val="24"/>
            <w:rtl w:val="0"/>
          </w:rPr>
          <w:t xml:space="preserve">[2]</w:t>
        </w:r>
      </w:hyperlink>
      <w:hyperlink r:id="rId26">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Persistent or recurrent bleeding requires further evaluation even if initial biopsy or TVUS is benign </w:t>
      </w:r>
      <w:hyperlink r:id="rId27">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1"/>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Referral to gynecology is appropriate for persistent bleeding, suspicion of malignancy, or if surgery is required </w:t>
      </w:r>
      <w:hyperlink r:id="rId28">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4">
      <w:pPr>
        <w:pStyle w:val="Heading3"/>
        <w:keepNext w:val="0"/>
        <w:keepLines w:val="0"/>
        <w:spacing w:after="40" w:before="460" w:line="346.66666666666663" w:lineRule="auto"/>
        <w:rPr>
          <w:b w:val="1"/>
          <w:bCs w:val="1"/>
          <w:color w:val="232323"/>
          <w:sz w:val="27"/>
          <w:szCs w:val="27"/>
        </w:rPr>
      </w:pPr>
      <w:bookmarkStart w:colFirst="0" w:colLast="0" w:name="_jgtb0lh69r6o"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5">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6">
      <w:pPr>
        <w:numPr>
          <w:ilvl w:val="0"/>
          <w:numId w:val="9"/>
        </w:numPr>
        <w:spacing w:after="0" w:afterAutospacing="0" w:before="220" w:line="390" w:lineRule="auto"/>
        <w:ind w:left="720" w:hanging="360"/>
        <w:rPr>
          <w:color w:val="3c78d8"/>
        </w:rPr>
      </w:pPr>
      <w:hyperlink r:id="rId29">
        <w:r w:rsidDel="00000000" w:rsidR="00000000" w:rsidRPr="00000000">
          <w:rPr>
            <w:color w:val="3c78d8"/>
            <w:sz w:val="24"/>
            <w:szCs w:val="24"/>
            <w:rtl w:val="0"/>
          </w:rPr>
          <w:t xml:space="preserve">What if the patient is on hormone therapy?</w:t>
        </w:r>
      </w:hyperlink>
      <w:r w:rsidDel="00000000" w:rsidR="00000000" w:rsidRPr="00000000">
        <w:rPr>
          <w:rtl w:val="0"/>
        </w:rPr>
      </w:r>
    </w:p>
    <w:p w:rsidR="00000000" w:rsidDel="00000000" w:rsidP="00000000" w:rsidRDefault="00000000" w:rsidRPr="00000000" w14:paraId="00000017">
      <w:pPr>
        <w:numPr>
          <w:ilvl w:val="0"/>
          <w:numId w:val="9"/>
        </w:numPr>
        <w:spacing w:after="0" w:afterAutospacing="0" w:before="0" w:beforeAutospacing="0" w:line="390" w:lineRule="auto"/>
        <w:ind w:left="720" w:hanging="360"/>
        <w:rPr>
          <w:color w:val="3c78d8"/>
        </w:rPr>
      </w:pPr>
      <w:hyperlink r:id="rId30">
        <w:r w:rsidDel="00000000" w:rsidR="00000000" w:rsidRPr="00000000">
          <w:rPr>
            <w:color w:val="3c78d8"/>
            <w:sz w:val="24"/>
            <w:szCs w:val="24"/>
            <w:rtl w:val="0"/>
          </w:rPr>
          <w:t xml:space="preserve">What if the initial biopsy is nondiagnostic or benign but bleeding persists?</w:t>
        </w:r>
      </w:hyperlink>
      <w:r w:rsidDel="00000000" w:rsidR="00000000" w:rsidRPr="00000000">
        <w:rPr>
          <w:rtl w:val="0"/>
        </w:rPr>
      </w:r>
    </w:p>
    <w:p w:rsidR="00000000" w:rsidDel="00000000" w:rsidP="00000000" w:rsidRDefault="00000000" w:rsidRPr="00000000" w14:paraId="00000018">
      <w:pPr>
        <w:numPr>
          <w:ilvl w:val="0"/>
          <w:numId w:val="9"/>
        </w:numPr>
        <w:spacing w:after="0" w:afterAutospacing="0" w:before="0" w:beforeAutospacing="0" w:line="390" w:lineRule="auto"/>
        <w:ind w:left="720" w:hanging="360"/>
        <w:rPr>
          <w:color w:val="3c78d8"/>
        </w:rPr>
      </w:pPr>
      <w:hyperlink r:id="rId31">
        <w:r w:rsidDel="00000000" w:rsidR="00000000" w:rsidRPr="00000000">
          <w:rPr>
            <w:color w:val="3c78d8"/>
            <w:sz w:val="24"/>
            <w:szCs w:val="24"/>
            <w:rtl w:val="0"/>
          </w:rPr>
          <w:t xml:space="preserve">How to interpret TVUS findings in patients with fibroids or poor endometrial visualization?</w:t>
        </w:r>
      </w:hyperlink>
      <w:r w:rsidDel="00000000" w:rsidR="00000000" w:rsidRPr="00000000">
        <w:rPr>
          <w:rtl w:val="0"/>
        </w:rPr>
      </w:r>
    </w:p>
    <w:p w:rsidR="00000000" w:rsidDel="00000000" w:rsidP="00000000" w:rsidRDefault="00000000" w:rsidRPr="00000000" w14:paraId="00000019">
      <w:pPr>
        <w:numPr>
          <w:ilvl w:val="0"/>
          <w:numId w:val="9"/>
        </w:numPr>
        <w:spacing w:after="0" w:afterAutospacing="0" w:before="0" w:beforeAutospacing="0" w:line="390" w:lineRule="auto"/>
        <w:ind w:left="720" w:hanging="360"/>
        <w:rPr>
          <w:color w:val="3c78d8"/>
        </w:rPr>
      </w:pPr>
      <w:hyperlink r:id="rId32">
        <w:r w:rsidDel="00000000" w:rsidR="00000000" w:rsidRPr="00000000">
          <w:rPr>
            <w:color w:val="3c78d8"/>
            <w:sz w:val="24"/>
            <w:szCs w:val="24"/>
            <w:rtl w:val="0"/>
          </w:rPr>
          <w:t xml:space="preserve">What if the patient has risk factors for endometrial cancer?</w:t>
        </w:r>
      </w:hyperlink>
      <w:r w:rsidDel="00000000" w:rsidR="00000000" w:rsidRPr="00000000">
        <w:rPr>
          <w:rtl w:val="0"/>
        </w:rPr>
      </w:r>
    </w:p>
    <w:p w:rsidR="00000000" w:rsidDel="00000000" w:rsidP="00000000" w:rsidRDefault="00000000" w:rsidRPr="00000000" w14:paraId="0000001A">
      <w:pPr>
        <w:numPr>
          <w:ilvl w:val="0"/>
          <w:numId w:val="9"/>
        </w:numPr>
        <w:spacing w:after="240" w:before="0" w:beforeAutospacing="0" w:line="390" w:lineRule="auto"/>
        <w:ind w:left="720" w:hanging="360"/>
        <w:rPr>
          <w:color w:val="3c78d8"/>
        </w:rPr>
      </w:pPr>
      <w:hyperlink r:id="rId33">
        <w:r w:rsidDel="00000000" w:rsidR="00000000" w:rsidRPr="00000000">
          <w:rPr>
            <w:color w:val="3c78d8"/>
            <w:sz w:val="24"/>
            <w:szCs w:val="24"/>
            <w:rtl w:val="0"/>
          </w:rPr>
          <w:t xml:space="preserve">What if the patient is not hemodynamically stable?</w:t>
        </w:r>
      </w:hyperlink>
      <w:r w:rsidDel="00000000" w:rsidR="00000000" w:rsidRPr="00000000">
        <w:rPr>
          <w:rtl w:val="0"/>
        </w:rPr>
      </w:r>
    </w:p>
    <w:p w:rsidR="00000000" w:rsidDel="00000000" w:rsidP="00000000" w:rsidRDefault="00000000" w:rsidRPr="00000000" w14:paraId="0000001B">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management after diagnosis.</w:t>
      </w:r>
    </w:p>
    <w:p w:rsidR="00000000" w:rsidDel="00000000" w:rsidP="00000000" w:rsidRDefault="00000000" w:rsidRPr="00000000" w14:paraId="0000001C">
      <w:pPr>
        <w:pStyle w:val="Heading3"/>
        <w:keepNext w:val="0"/>
        <w:keepLines w:val="0"/>
        <w:spacing w:after="40" w:before="460" w:line="346.66666666666663" w:lineRule="auto"/>
        <w:rPr>
          <w:b w:val="1"/>
          <w:bCs w:val="1"/>
          <w:color w:val="232323"/>
          <w:sz w:val="27"/>
          <w:szCs w:val="27"/>
        </w:rPr>
      </w:pPr>
      <w:bookmarkStart w:colFirst="0" w:colLast="0" w:name="_vsu5gclftoh5"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D">
      <w:pPr>
        <w:numPr>
          <w:ilvl w:val="0"/>
          <w:numId w:val="11"/>
        </w:numPr>
        <w:spacing w:after="0" w:afterAutospacing="0" w:before="240" w:lineRule="auto"/>
        <w:ind w:left="720" w:hanging="360"/>
        <w:rPr>
          <w:color w:val="3c78d8"/>
        </w:rPr>
      </w:pPr>
      <w:hyperlink r:id="rId34">
        <w:r w:rsidDel="00000000" w:rsidR="00000000" w:rsidRPr="00000000">
          <w:rPr>
            <w:color w:val="3c78d8"/>
            <w:sz w:val="24"/>
            <w:szCs w:val="24"/>
            <w:rtl w:val="0"/>
          </w:rPr>
          <w:t xml:space="preserve">Overview of the evaluation of the endometrium for malignant or premalignant disease &gt; HOW TO CHOOSE THE METHOD &gt; Postmenopausal patients with bleeding</w:t>
        </w:r>
      </w:hyperlink>
      <w:r w:rsidDel="00000000" w:rsidR="00000000" w:rsidRPr="00000000">
        <w:rPr>
          <w:rtl w:val="0"/>
        </w:rPr>
      </w:r>
    </w:p>
    <w:p w:rsidR="00000000" w:rsidDel="00000000" w:rsidP="00000000" w:rsidRDefault="00000000" w:rsidRPr="00000000" w14:paraId="0000001E">
      <w:pPr>
        <w:numPr>
          <w:ilvl w:val="0"/>
          <w:numId w:val="11"/>
        </w:numPr>
        <w:spacing w:after="0" w:afterAutospacing="0" w:before="0" w:beforeAutospacing="0" w:lineRule="auto"/>
        <w:ind w:left="720" w:hanging="360"/>
        <w:rPr>
          <w:color w:val="3c78d8"/>
        </w:rPr>
      </w:pPr>
      <w:hyperlink r:id="rId35">
        <w:r w:rsidDel="00000000" w:rsidR="00000000" w:rsidRPr="00000000">
          <w:rPr>
            <w:color w:val="3c78d8"/>
            <w:sz w:val="24"/>
            <w:szCs w:val="24"/>
            <w:rtl w:val="0"/>
          </w:rPr>
          <w:t xml:space="preserve">Approach to the patient with postmenopausal uterine bleeding &gt; SUMMARY AND RECOMMENDATIONS</w:t>
        </w:r>
      </w:hyperlink>
      <w:r w:rsidDel="00000000" w:rsidR="00000000" w:rsidRPr="00000000">
        <w:rPr>
          <w:rtl w:val="0"/>
        </w:rPr>
      </w:r>
    </w:p>
    <w:p w:rsidR="00000000" w:rsidDel="00000000" w:rsidP="00000000" w:rsidRDefault="00000000" w:rsidRPr="00000000" w14:paraId="0000001F">
      <w:pPr>
        <w:numPr>
          <w:ilvl w:val="0"/>
          <w:numId w:val="11"/>
        </w:numPr>
        <w:spacing w:after="0" w:afterAutospacing="0" w:before="0" w:beforeAutospacing="0" w:lineRule="auto"/>
        <w:ind w:left="720" w:hanging="360"/>
        <w:rPr>
          <w:color w:val="3c78d8"/>
        </w:rPr>
      </w:pPr>
      <w:hyperlink r:id="rId36">
        <w:r w:rsidDel="00000000" w:rsidR="00000000" w:rsidRPr="00000000">
          <w:rPr>
            <w:color w:val="3c78d8"/>
            <w:sz w:val="24"/>
            <w:szCs w:val="24"/>
            <w:rtl w:val="0"/>
          </w:rPr>
          <w:t xml:space="preserve">Overview of the evaluation of the endometrium for malignant or premalignant disease &gt; SUMMARY AND RECOMMENDATIONS</w:t>
        </w:r>
      </w:hyperlink>
      <w:r w:rsidDel="00000000" w:rsidR="00000000" w:rsidRPr="00000000">
        <w:rPr>
          <w:rtl w:val="0"/>
        </w:rPr>
      </w:r>
    </w:p>
    <w:p w:rsidR="00000000" w:rsidDel="00000000" w:rsidP="00000000" w:rsidRDefault="00000000" w:rsidRPr="00000000" w14:paraId="00000020">
      <w:pPr>
        <w:numPr>
          <w:ilvl w:val="0"/>
          <w:numId w:val="11"/>
        </w:numPr>
        <w:spacing w:after="0" w:afterAutospacing="0" w:before="0" w:beforeAutospacing="0" w:lineRule="auto"/>
        <w:ind w:left="720" w:hanging="360"/>
        <w:rPr>
          <w:color w:val="3c78d8"/>
        </w:rPr>
      </w:pPr>
      <w:hyperlink r:id="rId37">
        <w:r w:rsidDel="00000000" w:rsidR="00000000" w:rsidRPr="00000000">
          <w:rPr>
            <w:color w:val="3c78d8"/>
            <w:sz w:val="24"/>
            <w:szCs w:val="24"/>
            <w:rtl w:val="0"/>
          </w:rPr>
          <w:t xml:space="preserve">Approach to the patient with postmenopausal uterine bleeding &gt; DIAGNOSTIC APPROACH &gt; Initial evaluation &gt; Evaluation of the cervix</w:t>
        </w:r>
      </w:hyperlink>
      <w:r w:rsidDel="00000000" w:rsidR="00000000" w:rsidRPr="00000000">
        <w:rPr>
          <w:rtl w:val="0"/>
        </w:rPr>
      </w:r>
    </w:p>
    <w:p w:rsidR="00000000" w:rsidDel="00000000" w:rsidP="00000000" w:rsidRDefault="00000000" w:rsidRPr="00000000" w14:paraId="00000021">
      <w:pPr>
        <w:numPr>
          <w:ilvl w:val="0"/>
          <w:numId w:val="11"/>
        </w:numPr>
        <w:spacing w:after="0" w:afterAutospacing="0" w:before="0" w:beforeAutospacing="0" w:lineRule="auto"/>
        <w:ind w:left="720" w:hanging="360"/>
        <w:rPr>
          <w:color w:val="3c78d8"/>
        </w:rPr>
      </w:pPr>
      <w:hyperlink r:id="rId38">
        <w:r w:rsidDel="00000000" w:rsidR="00000000" w:rsidRPr="00000000">
          <w:rPr>
            <w:color w:val="3c78d8"/>
            <w:sz w:val="24"/>
            <w:szCs w:val="24"/>
            <w:rtl w:val="0"/>
          </w:rPr>
          <w:t xml:space="preserve">Abnormal uterine bleeding in nonpregnant reproductive-age patients: Terminology, evaluation, and approach to diagnosis &gt; INITIAL EVALUATION OF ALL PATIENTS</w:t>
        </w:r>
      </w:hyperlink>
      <w:r w:rsidDel="00000000" w:rsidR="00000000" w:rsidRPr="00000000">
        <w:rPr>
          <w:rtl w:val="0"/>
        </w:rPr>
      </w:r>
    </w:p>
    <w:p w:rsidR="00000000" w:rsidDel="00000000" w:rsidP="00000000" w:rsidRDefault="00000000" w:rsidRPr="00000000" w14:paraId="00000022">
      <w:pPr>
        <w:numPr>
          <w:ilvl w:val="0"/>
          <w:numId w:val="11"/>
        </w:numPr>
        <w:spacing w:after="0" w:afterAutospacing="0" w:before="0" w:beforeAutospacing="0" w:lineRule="auto"/>
        <w:ind w:left="720" w:hanging="360"/>
        <w:rPr>
          <w:color w:val="3c78d8"/>
        </w:rPr>
      </w:pPr>
      <w:hyperlink r:id="rId39">
        <w:r w:rsidDel="00000000" w:rsidR="00000000" w:rsidRPr="00000000">
          <w:rPr>
            <w:color w:val="3c78d8"/>
            <w:sz w:val="24"/>
            <w:szCs w:val="24"/>
            <w:rtl w:val="0"/>
          </w:rPr>
          <w:t xml:space="preserve">Approach to the patient with postmenopausal uterine bleeding &gt; ETIOLOGY</w:t>
        </w:r>
      </w:hyperlink>
      <w:r w:rsidDel="00000000" w:rsidR="00000000" w:rsidRPr="00000000">
        <w:rPr>
          <w:rtl w:val="0"/>
        </w:rPr>
      </w:r>
    </w:p>
    <w:p w:rsidR="00000000" w:rsidDel="00000000" w:rsidP="00000000" w:rsidRDefault="00000000" w:rsidRPr="00000000" w14:paraId="00000023">
      <w:pPr>
        <w:numPr>
          <w:ilvl w:val="0"/>
          <w:numId w:val="11"/>
        </w:numPr>
        <w:spacing w:after="0" w:afterAutospacing="0" w:before="0" w:beforeAutospacing="0" w:lineRule="auto"/>
        <w:ind w:left="720" w:hanging="360"/>
        <w:rPr>
          <w:color w:val="3c78d8"/>
        </w:rPr>
      </w:pPr>
      <w:hyperlink r:id="rId40">
        <w:r w:rsidDel="00000000" w:rsidR="00000000" w:rsidRPr="00000000">
          <w:rPr>
            <w:color w:val="3c78d8"/>
            <w:sz w:val="24"/>
            <w:szCs w:val="24"/>
            <w:rtl w:val="0"/>
          </w:rPr>
          <w:t xml:space="preserve">Approach to the patient with postmenopausal uterine bleeding &gt; ETIOLOGY &gt; Hyperplasia and carcinoma &gt; Endometrial carcinoma</w:t>
        </w:r>
      </w:hyperlink>
      <w:r w:rsidDel="00000000" w:rsidR="00000000" w:rsidRPr="00000000">
        <w:rPr>
          <w:rtl w:val="0"/>
        </w:rPr>
      </w:r>
    </w:p>
    <w:p w:rsidR="00000000" w:rsidDel="00000000" w:rsidP="00000000" w:rsidRDefault="00000000" w:rsidRPr="00000000" w14:paraId="00000024">
      <w:pPr>
        <w:numPr>
          <w:ilvl w:val="0"/>
          <w:numId w:val="11"/>
        </w:numPr>
        <w:spacing w:after="240" w:before="0" w:beforeAutospacing="0" w:lineRule="auto"/>
        <w:ind w:left="720" w:hanging="360"/>
        <w:rPr>
          <w:color w:val="3c78d8"/>
        </w:rPr>
      </w:pPr>
      <w:hyperlink r:id="rId41">
        <w:r w:rsidDel="00000000" w:rsidR="00000000" w:rsidRPr="00000000">
          <w:rPr>
            <w:color w:val="3c78d8"/>
            <w:sz w:val="24"/>
            <w:szCs w:val="24"/>
            <w:rtl w:val="0"/>
          </w:rPr>
          <w:t xml:space="preserve">Approach to the patient with postmenopausal uterine bleeding &gt; DIAGNOSTIC APPROACH &gt; Additional testing for select patients &gt; Patients with recurrent bleeding</w:t>
        </w:r>
      </w:hyperlink>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t4qf90ea1h"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66</w:t>
      </w:r>
      <w:r w:rsidDel="00000000" w:rsidR="00000000" w:rsidRPr="00000000">
        <w:rPr>
          <w:rtl w:val="0"/>
        </w:rPr>
      </w:r>
    </w:p>
    <w:p w:rsidR="00000000" w:rsidDel="00000000" w:rsidP="00000000" w:rsidRDefault="00000000" w:rsidRPr="00000000" w14:paraId="00000027">
      <w:pPr>
        <w:spacing w:line="390" w:lineRule="auto"/>
        <w:rPr>
          <w:color w:val="232323"/>
          <w:sz w:val="24"/>
          <w:szCs w:val="24"/>
        </w:rPr>
      </w:pPr>
      <w:r w:rsidDel="00000000" w:rsidR="00000000" w:rsidRPr="00000000">
        <w:rPr>
          <w:color w:val="232323"/>
          <w:sz w:val="24"/>
          <w:szCs w:val="24"/>
          <w:rtl w:val="0"/>
        </w:rPr>
        <w:t xml:space="preserve">ASSUMPTIONS: You are asking whether follicle-stimulating hormone (FSH) level is a reliable test to confirm menopause in a woman who is experiencing active bleeding. I am assuming the patient is a typical adult female presenting with menstrual bleeding and possible menopausal symptoms.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line="390" w:lineRule="auto"/>
        <w:rPr>
          <w:color w:val="232323"/>
          <w:sz w:val="24"/>
          <w:szCs w:val="24"/>
        </w:rPr>
      </w:pPr>
      <w:r w:rsidDel="00000000" w:rsidR="00000000" w:rsidRPr="00000000">
        <w:rPr>
          <w:color w:val="232323"/>
          <w:sz w:val="24"/>
          <w:szCs w:val="24"/>
          <w:rtl w:val="0"/>
        </w:rPr>
        <w:t xml:space="preserve">FSH level is not a reliable test to confirm menopause during active bleeding. According to UpToDate guidance, serum FSH concentrations vary widely during the menopausal transition, and a value in the normal premenopausal range does not rule out perimenopause or menopause as the cause of symptoms. FSH levels fluctuate and may be high or low depending on the timing of the test and the hormonal variability of the transition. Changes in menstrual bleeding patterns are a better predictor of menopausal stage than serum FSH concentrations. Therefore, a random FSH measurement during active bleeding may not accurately reflect menopausal status and can be misleading</w:t>
      </w:r>
      <w:hyperlink r:id="rId42">
        <w:r w:rsidDel="00000000" w:rsidR="00000000" w:rsidRPr="00000000">
          <w:rPr>
            <w:color w:val="232323"/>
            <w:sz w:val="24"/>
            <w:szCs w:val="24"/>
            <w:rtl w:val="0"/>
          </w:rPr>
          <w:t xml:space="preserve"> [1]</w:t>
        </w:r>
      </w:hyperlink>
      <w:hyperlink r:id="rId43">
        <w:r w:rsidDel="00000000" w:rsidR="00000000" w:rsidRPr="00000000">
          <w:rPr>
            <w:color w:val="232323"/>
            <w:sz w:val="24"/>
            <w:szCs w:val="24"/>
            <w:rtl w:val="0"/>
          </w:rPr>
          <w:t xml:space="preserve">[2]</w:t>
        </w:r>
      </w:hyperlink>
      <w:hyperlink r:id="rId44">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A">
      <w:pPr>
        <w:spacing w:line="390" w:lineRule="auto"/>
        <w:rPr>
          <w:color w:val="232323"/>
          <w:sz w:val="24"/>
          <w:szCs w:val="24"/>
        </w:rPr>
      </w:pPr>
      <w:r w:rsidDel="00000000" w:rsidR="00000000" w:rsidRPr="00000000">
        <w:rPr>
          <w:rtl w:val="0"/>
        </w:rPr>
      </w:r>
    </w:p>
    <w:p w:rsidR="00000000" w:rsidDel="00000000" w:rsidP="00000000" w:rsidRDefault="00000000" w:rsidRPr="00000000" w14:paraId="0000002B">
      <w:pPr>
        <w:spacing w:line="390" w:lineRule="auto"/>
        <w:rPr>
          <w:color w:val="232323"/>
          <w:sz w:val="24"/>
          <w:szCs w:val="24"/>
        </w:rPr>
      </w:pPr>
      <w:r w:rsidDel="00000000" w:rsidR="00000000" w:rsidRPr="00000000">
        <w:rPr>
          <w:color w:val="232323"/>
          <w:sz w:val="24"/>
          <w:szCs w:val="24"/>
          <w:rtl w:val="0"/>
        </w:rPr>
        <w:t xml:space="preserve">For women with heavy or prolonged bleeding, the recommended evaluation is the same as for any premenopausal woman: pregnancy test, assessment for ovulatory or anovulatory bleeding, pelvic ultrasound to rule out structural abnormalities, and endometrial biopsy if indicated. The diagnosis of menopause is typically made retrospectively after 12 months of amenorrhea, not during episodes of bleeding</w:t>
      </w:r>
      <w:hyperlink r:id="rId45">
        <w:r w:rsidDel="00000000" w:rsidR="00000000" w:rsidRPr="00000000">
          <w:rPr>
            <w:color w:val="232323"/>
            <w:sz w:val="24"/>
            <w:szCs w:val="24"/>
            <w:rtl w:val="0"/>
          </w:rPr>
          <w:t xml:space="preserve"> [3]</w:t>
        </w:r>
      </w:hyperlink>
      <w:hyperlink r:id="rId46">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C">
      <w:pPr>
        <w:spacing w:line="390" w:lineRule="auto"/>
        <w:rPr>
          <w:color w:val="232323"/>
          <w:sz w:val="24"/>
          <w:szCs w:val="24"/>
        </w:rPr>
      </w:pPr>
      <w:r w:rsidDel="00000000" w:rsidR="00000000" w:rsidRPr="00000000">
        <w:rPr>
          <w:color w:val="232323"/>
          <w:sz w:val="24"/>
          <w:szCs w:val="24"/>
          <w:rtl w:val="0"/>
        </w:rPr>
        <w:t xml:space="preserve">For further guidance, refer to the</w:t>
      </w:r>
      <w:hyperlink r:id="rId47">
        <w:r w:rsidDel="00000000" w:rsidR="00000000" w:rsidRPr="00000000">
          <w:rPr>
            <w:color w:val="232323"/>
            <w:sz w:val="24"/>
            <w:szCs w:val="24"/>
            <w:rtl w:val="0"/>
          </w:rPr>
          <w:t xml:space="preserve">  Evaluation of suspected menopause in females &gt;40 years</w:t>
        </w:r>
      </w:hyperlink>
      <w:r w:rsidDel="00000000" w:rsidR="00000000" w:rsidRPr="00000000">
        <w:rPr>
          <w:color w:val="232323"/>
          <w:sz w:val="24"/>
          <w:szCs w:val="24"/>
          <w:rtl w:val="0"/>
        </w:rPr>
        <w:t xml:space="preserve"> and</w:t>
      </w:r>
      <w:hyperlink r:id="rId48">
        <w:r w:rsidDel="00000000" w:rsidR="00000000" w:rsidRPr="00000000">
          <w:rPr>
            <w:color w:val="232323"/>
            <w:sz w:val="24"/>
            <w:szCs w:val="24"/>
            <w:rtl w:val="0"/>
          </w:rPr>
          <w:t xml:space="preserve">  Onset of the menopausal transition</w:t>
        </w:r>
      </w:hyperlink>
      <w:r w:rsidDel="00000000" w:rsidR="00000000" w:rsidRPr="00000000">
        <w:rPr>
          <w:color w:val="232323"/>
          <w:sz w:val="24"/>
          <w:szCs w:val="24"/>
          <w:rtl w:val="0"/>
        </w:rPr>
        <w:t xml:space="preserve"> graphics.</w:t>
      </w:r>
    </w:p>
    <w:p w:rsidR="00000000" w:rsidDel="00000000" w:rsidP="00000000" w:rsidRDefault="00000000" w:rsidRPr="00000000" w14:paraId="0000002D">
      <w:pPr>
        <w:pStyle w:val="Heading3"/>
        <w:keepNext w:val="0"/>
        <w:keepLines w:val="0"/>
        <w:spacing w:after="40" w:before="460" w:line="346.66666666666663" w:lineRule="auto"/>
        <w:rPr>
          <w:b w:val="1"/>
          <w:bCs w:val="1"/>
          <w:color w:val="232323"/>
          <w:sz w:val="27"/>
          <w:szCs w:val="27"/>
        </w:rPr>
      </w:pPr>
      <w:bookmarkStart w:colFirst="0" w:colLast="0" w:name="_360fwjyhcby5"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2E">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F">
      <w:pPr>
        <w:numPr>
          <w:ilvl w:val="0"/>
          <w:numId w:val="3"/>
        </w:numPr>
        <w:spacing w:after="0" w:afterAutospacing="0" w:before="220" w:line="390" w:lineRule="auto"/>
        <w:ind w:left="720" w:hanging="360"/>
        <w:rPr>
          <w:color w:val="3c78d8"/>
        </w:rPr>
      </w:pPr>
      <w:hyperlink r:id="rId49">
        <w:r w:rsidDel="00000000" w:rsidR="00000000" w:rsidRPr="00000000">
          <w:rPr>
            <w:color w:val="3c78d8"/>
            <w:sz w:val="24"/>
            <w:szCs w:val="24"/>
            <w:rtl w:val="0"/>
          </w:rPr>
          <w:t xml:space="preserve">How should menopause be diagnosed in women with irregular bleeding?</w:t>
        </w:r>
      </w:hyperlink>
      <w:r w:rsidDel="00000000" w:rsidR="00000000" w:rsidRPr="00000000">
        <w:rPr>
          <w:rtl w:val="0"/>
        </w:rPr>
      </w:r>
    </w:p>
    <w:p w:rsidR="00000000" w:rsidDel="00000000" w:rsidP="00000000" w:rsidRDefault="00000000" w:rsidRPr="00000000" w14:paraId="00000030">
      <w:pPr>
        <w:numPr>
          <w:ilvl w:val="0"/>
          <w:numId w:val="3"/>
        </w:numPr>
        <w:spacing w:after="0" w:afterAutospacing="0" w:before="0" w:beforeAutospacing="0" w:line="390" w:lineRule="auto"/>
        <w:ind w:left="720" w:hanging="360"/>
        <w:rPr>
          <w:color w:val="3c78d8"/>
        </w:rPr>
      </w:pPr>
      <w:hyperlink r:id="rId50">
        <w:r w:rsidDel="00000000" w:rsidR="00000000" w:rsidRPr="00000000">
          <w:rPr>
            <w:color w:val="3c78d8"/>
            <w:sz w:val="24"/>
            <w:szCs w:val="24"/>
            <w:rtl w:val="0"/>
          </w:rPr>
          <w:t xml:space="preserve">What is the role of FSH testing in women with amenorrhea?</w:t>
        </w:r>
      </w:hyperlink>
      <w:r w:rsidDel="00000000" w:rsidR="00000000" w:rsidRPr="00000000">
        <w:rPr>
          <w:rtl w:val="0"/>
        </w:rPr>
      </w:r>
    </w:p>
    <w:p w:rsidR="00000000" w:rsidDel="00000000" w:rsidP="00000000" w:rsidRDefault="00000000" w:rsidRPr="00000000" w14:paraId="00000031">
      <w:pPr>
        <w:numPr>
          <w:ilvl w:val="0"/>
          <w:numId w:val="3"/>
        </w:numPr>
        <w:spacing w:after="0" w:afterAutospacing="0" w:before="0" w:beforeAutospacing="0" w:line="390" w:lineRule="auto"/>
        <w:ind w:left="720" w:hanging="360"/>
        <w:rPr>
          <w:color w:val="3c78d8"/>
        </w:rPr>
      </w:pPr>
      <w:hyperlink r:id="rId51">
        <w:r w:rsidDel="00000000" w:rsidR="00000000" w:rsidRPr="00000000">
          <w:rPr>
            <w:color w:val="3c78d8"/>
            <w:sz w:val="24"/>
            <w:szCs w:val="24"/>
            <w:rtl w:val="0"/>
          </w:rPr>
          <w:t xml:space="preserve">How should heavy or prolonged bleeding be evaluated in perimenopausal women?</w:t>
        </w:r>
      </w:hyperlink>
      <w:r w:rsidDel="00000000" w:rsidR="00000000" w:rsidRPr="00000000">
        <w:rPr>
          <w:rtl w:val="0"/>
        </w:rPr>
      </w:r>
    </w:p>
    <w:p w:rsidR="00000000" w:rsidDel="00000000" w:rsidP="00000000" w:rsidRDefault="00000000" w:rsidRPr="00000000" w14:paraId="00000032">
      <w:pPr>
        <w:numPr>
          <w:ilvl w:val="0"/>
          <w:numId w:val="3"/>
        </w:numPr>
        <w:spacing w:after="0" w:afterAutospacing="0" w:before="0" w:beforeAutospacing="0" w:line="390" w:lineRule="auto"/>
        <w:ind w:left="720" w:hanging="360"/>
        <w:rPr>
          <w:color w:val="3c78d8"/>
        </w:rPr>
      </w:pPr>
      <w:hyperlink r:id="rId52">
        <w:r w:rsidDel="00000000" w:rsidR="00000000" w:rsidRPr="00000000">
          <w:rPr>
            <w:color w:val="3c78d8"/>
            <w:sz w:val="24"/>
            <w:szCs w:val="24"/>
            <w:rtl w:val="0"/>
          </w:rPr>
          <w:t xml:space="preserve">What other laboratory tests are useful in evaluating menopause?</w:t>
        </w:r>
      </w:hyperlink>
      <w:r w:rsidDel="00000000" w:rsidR="00000000" w:rsidRPr="00000000">
        <w:rPr>
          <w:rtl w:val="0"/>
        </w:rPr>
      </w:r>
    </w:p>
    <w:p w:rsidR="00000000" w:rsidDel="00000000" w:rsidP="00000000" w:rsidRDefault="00000000" w:rsidRPr="00000000" w14:paraId="00000033">
      <w:pPr>
        <w:numPr>
          <w:ilvl w:val="0"/>
          <w:numId w:val="3"/>
        </w:numPr>
        <w:spacing w:after="240" w:before="0" w:beforeAutospacing="0" w:line="390" w:lineRule="auto"/>
        <w:ind w:left="720" w:hanging="360"/>
        <w:rPr>
          <w:color w:val="3c78d8"/>
        </w:rPr>
      </w:pPr>
      <w:hyperlink r:id="rId53">
        <w:r w:rsidDel="00000000" w:rsidR="00000000" w:rsidRPr="00000000">
          <w:rPr>
            <w:color w:val="3c78d8"/>
            <w:sz w:val="24"/>
            <w:szCs w:val="24"/>
            <w:rtl w:val="0"/>
          </w:rPr>
          <w:t xml:space="preserve">How do menopausal symptoms correlate with laboratory findings?</w:t>
        </w:r>
      </w:hyperlink>
      <w:r w:rsidDel="00000000" w:rsidR="00000000" w:rsidRPr="00000000">
        <w:rPr>
          <w:rtl w:val="0"/>
        </w:rPr>
      </w:r>
    </w:p>
    <w:p w:rsidR="00000000" w:rsidDel="00000000" w:rsidP="00000000" w:rsidRDefault="00000000" w:rsidRPr="00000000" w14:paraId="00000034">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diagnostic strategies for menopause.</w:t>
      </w:r>
    </w:p>
    <w:p w:rsidR="00000000" w:rsidDel="00000000" w:rsidP="00000000" w:rsidRDefault="00000000" w:rsidRPr="00000000" w14:paraId="00000035">
      <w:pPr>
        <w:pStyle w:val="Heading3"/>
        <w:keepNext w:val="0"/>
        <w:keepLines w:val="0"/>
        <w:spacing w:after="40" w:before="460" w:line="346.66666666666663" w:lineRule="auto"/>
        <w:rPr>
          <w:b w:val="1"/>
          <w:bCs w:val="1"/>
          <w:color w:val="232323"/>
          <w:sz w:val="27"/>
          <w:szCs w:val="27"/>
        </w:rPr>
      </w:pPr>
      <w:bookmarkStart w:colFirst="0" w:colLast="0" w:name="_7vmrji4900u3"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6">
      <w:pPr>
        <w:numPr>
          <w:ilvl w:val="0"/>
          <w:numId w:val="6"/>
        </w:numPr>
        <w:spacing w:after="0" w:afterAutospacing="0" w:before="240" w:lineRule="auto"/>
        <w:ind w:left="720" w:hanging="360"/>
        <w:rPr>
          <w:color w:val="3c78d8"/>
        </w:rPr>
      </w:pPr>
      <w:hyperlink r:id="rId54">
        <w:r w:rsidDel="00000000" w:rsidR="00000000" w:rsidRPr="00000000">
          <w:rPr>
            <w:color w:val="3c78d8"/>
            <w:sz w:val="24"/>
            <w:szCs w:val="24"/>
            <w:rtl w:val="0"/>
          </w:rPr>
          <w:t xml:space="preserve">Menopause: Clinical features and diagnosis &gt; EVALUATION &gt; General approach &gt; Women over age 45 years</w:t>
        </w:r>
      </w:hyperlink>
      <w:r w:rsidDel="00000000" w:rsidR="00000000" w:rsidRPr="00000000">
        <w:rPr>
          <w:rtl w:val="0"/>
        </w:rPr>
      </w:r>
    </w:p>
    <w:p w:rsidR="00000000" w:rsidDel="00000000" w:rsidP="00000000" w:rsidRDefault="00000000" w:rsidRPr="00000000" w14:paraId="00000037">
      <w:pPr>
        <w:numPr>
          <w:ilvl w:val="0"/>
          <w:numId w:val="6"/>
        </w:numPr>
        <w:spacing w:after="0" w:afterAutospacing="0" w:before="0" w:beforeAutospacing="0" w:lineRule="auto"/>
        <w:ind w:left="720" w:hanging="360"/>
        <w:rPr>
          <w:color w:val="3c78d8"/>
        </w:rPr>
      </w:pPr>
      <w:hyperlink r:id="rId55">
        <w:r w:rsidDel="00000000" w:rsidR="00000000" w:rsidRPr="00000000">
          <w:rPr>
            <w:color w:val="3c78d8"/>
            <w:sz w:val="24"/>
            <w:szCs w:val="24"/>
            <w:rtl w:val="0"/>
          </w:rPr>
          <w:t xml:space="preserve">Menopause: Clinical features and diagnosis &gt; STAGES OF REPRODUCTIVE AGING &gt; Menopausal transition (perimenopause)</w:t>
        </w:r>
      </w:hyperlink>
      <w:r w:rsidDel="00000000" w:rsidR="00000000" w:rsidRPr="00000000">
        <w:rPr>
          <w:rtl w:val="0"/>
        </w:rPr>
      </w:r>
    </w:p>
    <w:p w:rsidR="00000000" w:rsidDel="00000000" w:rsidP="00000000" w:rsidRDefault="00000000" w:rsidRPr="00000000" w14:paraId="00000038">
      <w:pPr>
        <w:numPr>
          <w:ilvl w:val="0"/>
          <w:numId w:val="6"/>
        </w:numPr>
        <w:spacing w:after="0" w:afterAutospacing="0" w:before="0" w:beforeAutospacing="0" w:lineRule="auto"/>
        <w:ind w:left="720" w:hanging="360"/>
        <w:rPr>
          <w:color w:val="3c78d8"/>
        </w:rPr>
      </w:pPr>
      <w:hyperlink r:id="rId56">
        <w:r w:rsidDel="00000000" w:rsidR="00000000" w:rsidRPr="00000000">
          <w:rPr>
            <w:color w:val="3c78d8"/>
            <w:sz w:val="24"/>
            <w:szCs w:val="24"/>
            <w:rtl w:val="0"/>
          </w:rPr>
          <w:t xml:space="preserve">Menopause: Clinical features and diagnosis &gt; SUMMARY AND RECOMMENDATIONS</w:t>
        </w:r>
      </w:hyperlink>
      <w:r w:rsidDel="00000000" w:rsidR="00000000" w:rsidRPr="00000000">
        <w:rPr>
          <w:rtl w:val="0"/>
        </w:rPr>
      </w:r>
    </w:p>
    <w:p w:rsidR="00000000" w:rsidDel="00000000" w:rsidP="00000000" w:rsidRDefault="00000000" w:rsidRPr="00000000" w14:paraId="00000039">
      <w:pPr>
        <w:numPr>
          <w:ilvl w:val="0"/>
          <w:numId w:val="6"/>
        </w:numPr>
        <w:spacing w:after="240" w:before="0" w:beforeAutospacing="0" w:lineRule="auto"/>
        <w:ind w:left="720" w:hanging="360"/>
        <w:rPr>
          <w:color w:val="3c78d8"/>
        </w:rPr>
      </w:pPr>
      <w:hyperlink r:id="rId57">
        <w:r w:rsidDel="00000000" w:rsidR="00000000" w:rsidRPr="00000000">
          <w:rPr>
            <w:color w:val="3c78d8"/>
            <w:sz w:val="24"/>
            <w:szCs w:val="24"/>
            <w:rtl w:val="0"/>
          </w:rPr>
          <w:t xml:space="preserve">Menopause: Clinical features and diagnosis &gt; EVALUATION &gt; Heavy bleeding</w:t>
        </w:r>
      </w:hyperlink>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om2ztee3x2"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67</w:t>
      </w:r>
      <w:r w:rsidDel="00000000" w:rsidR="00000000" w:rsidRPr="00000000">
        <w:rPr>
          <w:rtl w:val="0"/>
        </w:rPr>
      </w:r>
    </w:p>
    <w:p w:rsidR="00000000" w:rsidDel="00000000" w:rsidP="00000000" w:rsidRDefault="00000000" w:rsidRPr="00000000" w14:paraId="0000003C">
      <w:pPr>
        <w:spacing w:line="390" w:lineRule="auto"/>
        <w:rPr>
          <w:color w:val="232323"/>
          <w:sz w:val="24"/>
          <w:szCs w:val="24"/>
        </w:rPr>
      </w:pPr>
      <w:r w:rsidDel="00000000" w:rsidR="00000000" w:rsidRPr="00000000">
        <w:rPr>
          <w:color w:val="232323"/>
          <w:sz w:val="24"/>
          <w:szCs w:val="24"/>
          <w:rtl w:val="0"/>
        </w:rPr>
        <w:t xml:space="preserve">ASSUMPTIONS: You are asking about preferred antihypertensive medications for adult patients with metabolic risk (eg, metabolic syndrome, insulin resistance, or related traits). I am assuming the patient does not have chronic kidney disease with albuminuria, heart failure, or other compelling indications for a specific antihypertensive class, and is not pregnant or breastfeeding.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390" w:lineRule="auto"/>
        <w:rPr>
          <w:color w:val="232323"/>
          <w:sz w:val="24"/>
          <w:szCs w:val="24"/>
        </w:rPr>
      </w:pPr>
      <w:r w:rsidDel="00000000" w:rsidR="00000000" w:rsidRPr="00000000">
        <w:rPr>
          <w:color w:val="232323"/>
          <w:sz w:val="24"/>
          <w:szCs w:val="24"/>
          <w:rtl w:val="0"/>
        </w:rPr>
        <w:t xml:space="preserve">For patients with metabolic risk (such as metabolic syndrome), preferred initial antihypertensive agents are ACE inhibitors, ARBs, or dihydropyridine calcium channel blockers. Thiazide diuretics are generally reserved for patients who do not achieve adequate blood pressure control with these agents, due to their potential to modestly worsen hyperglycemia and adversely affect lipid profiles</w:t>
      </w:r>
      <w:hyperlink r:id="rId58">
        <w:r w:rsidDel="00000000" w:rsidR="00000000" w:rsidRPr="00000000">
          <w:rPr>
            <w:color w:val="232323"/>
            <w:sz w:val="24"/>
            <w:szCs w:val="24"/>
            <w:rtl w:val="0"/>
          </w:rPr>
          <w:t xml:space="preserve"> [1]</w:t>
        </w:r>
      </w:hyperlink>
      <w:hyperlink r:id="rId59">
        <w:r w:rsidDel="00000000" w:rsidR="00000000" w:rsidRPr="00000000">
          <w:rPr>
            <w:color w:val="232323"/>
            <w:sz w:val="24"/>
            <w:szCs w:val="24"/>
            <w:rtl w:val="0"/>
          </w:rPr>
          <w:t xml:space="preserve">[2]</w:t>
        </w:r>
      </w:hyperlink>
      <w:hyperlink r:id="rId60">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F">
      <w:pPr>
        <w:pStyle w:val="Heading3"/>
        <w:keepNext w:val="0"/>
        <w:keepLines w:val="0"/>
        <w:spacing w:after="40" w:before="460" w:line="346.66666666666663" w:lineRule="auto"/>
        <w:rPr>
          <w:b w:val="1"/>
          <w:bCs w:val="1"/>
          <w:color w:val="232323"/>
          <w:sz w:val="27"/>
          <w:szCs w:val="27"/>
        </w:rPr>
      </w:pPr>
      <w:bookmarkStart w:colFirst="0" w:colLast="0" w:name="_6q900x88yk5u" w:id="9"/>
      <w:bookmarkEnd w:id="9"/>
      <w:r w:rsidDel="00000000" w:rsidR="00000000" w:rsidRPr="00000000">
        <w:rPr>
          <w:b w:val="1"/>
          <w:bCs w:val="1"/>
          <w:color w:val="232323"/>
          <w:sz w:val="27"/>
          <w:szCs w:val="27"/>
          <w:rtl w:val="0"/>
        </w:rPr>
        <w:t xml:space="preserve">Preferred Antihypertensive Medications for Metabolic Risk</w:t>
      </w:r>
    </w:p>
    <w:p w:rsidR="00000000" w:rsidDel="00000000" w:rsidP="00000000" w:rsidRDefault="00000000" w:rsidRPr="00000000" w14:paraId="00000040">
      <w:pPr>
        <w:numPr>
          <w:ilvl w:val="0"/>
          <w:numId w:val="16"/>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ACE inhibitors (ACE inhibitor options) and ARBs (ARB options) are preferred, especially if there is evidence of albuminuria or diabetic kidney disease, as they may slow progression of kidney disease and have favorable effects on cardiovascular outcomes </w:t>
      </w:r>
      <w:hyperlink r:id="rId61">
        <w:r w:rsidDel="00000000" w:rsidR="00000000" w:rsidRPr="00000000">
          <w:rPr>
            <w:color w:val="232323"/>
            <w:sz w:val="24"/>
            <w:szCs w:val="24"/>
            <w:rtl w:val="0"/>
          </w:rPr>
          <w:t xml:space="preserve">[1]</w:t>
        </w:r>
      </w:hyperlink>
      <w:hyperlink r:id="rId62">
        <w:r w:rsidDel="00000000" w:rsidR="00000000" w:rsidRPr="00000000">
          <w:rPr>
            <w:color w:val="232323"/>
            <w:sz w:val="24"/>
            <w:szCs w:val="24"/>
            <w:rtl w:val="0"/>
          </w:rPr>
          <w:t xml:space="preserve">[4]</w:t>
        </w:r>
      </w:hyperlink>
      <w:hyperlink r:id="rId63">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1">
      <w:pPr>
        <w:numPr>
          <w:ilvl w:val="0"/>
          <w:numId w:val="1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Dihydropyridine calcium channel blockers (</w:t>
      </w:r>
      <w:hyperlink r:id="rId64">
        <w:r w:rsidDel="00000000" w:rsidR="00000000" w:rsidRPr="00000000">
          <w:rPr>
            <w:color w:val="232323"/>
            <w:sz w:val="24"/>
            <w:szCs w:val="24"/>
            <w:rtl w:val="0"/>
          </w:rPr>
          <w:t xml:space="preserve">amlodipine</w:t>
        </w:r>
      </w:hyperlink>
      <w:r w:rsidDel="00000000" w:rsidR="00000000" w:rsidRPr="00000000">
        <w:rPr>
          <w:color w:val="232323"/>
          <w:sz w:val="24"/>
          <w:szCs w:val="24"/>
          <w:rtl w:val="0"/>
        </w:rPr>
        <w:t xml:space="preserve">, </w:t>
      </w:r>
      <w:hyperlink r:id="rId65">
        <w:r w:rsidDel="00000000" w:rsidR="00000000" w:rsidRPr="00000000">
          <w:rPr>
            <w:color w:val="232323"/>
            <w:sz w:val="24"/>
            <w:szCs w:val="24"/>
            <w:rtl w:val="0"/>
          </w:rPr>
          <w:t xml:space="preserve">felodipine</w:t>
        </w:r>
      </w:hyperlink>
      <w:r w:rsidDel="00000000" w:rsidR="00000000" w:rsidRPr="00000000">
        <w:rPr>
          <w:color w:val="232323"/>
          <w:sz w:val="24"/>
          <w:szCs w:val="24"/>
          <w:rtl w:val="0"/>
        </w:rPr>
        <w:t xml:space="preserve">) are also preferred as initial therapy </w:t>
      </w:r>
      <w:hyperlink r:id="rId66">
        <w:r w:rsidDel="00000000" w:rsidR="00000000" w:rsidRPr="00000000">
          <w:rPr>
            <w:color w:val="232323"/>
            <w:sz w:val="24"/>
            <w:szCs w:val="24"/>
            <w:rtl w:val="0"/>
          </w:rPr>
          <w:t xml:space="preserve">[1]</w:t>
        </w:r>
      </w:hyperlink>
      <w:hyperlink r:id="rId67">
        <w:r w:rsidDel="00000000" w:rsidR="00000000" w:rsidRPr="00000000">
          <w:rPr>
            <w:color w:val="232323"/>
            <w:sz w:val="24"/>
            <w:szCs w:val="24"/>
            <w:rtl w:val="0"/>
          </w:rPr>
          <w:t xml:space="preserve">[3]</w:t>
        </w:r>
      </w:hyperlink>
      <w:hyperlink r:id="rId68">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2">
      <w:pPr>
        <w:numPr>
          <w:ilvl w:val="0"/>
          <w:numId w:val="16"/>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Thiazide diuretics (</w:t>
      </w:r>
      <w:hyperlink r:id="rId69">
        <w:r w:rsidDel="00000000" w:rsidR="00000000" w:rsidRPr="00000000">
          <w:rPr>
            <w:color w:val="232323"/>
            <w:sz w:val="24"/>
            <w:szCs w:val="24"/>
            <w:rtl w:val="0"/>
          </w:rPr>
          <w:t xml:space="preserve">chlorthalidone</w:t>
        </w:r>
      </w:hyperlink>
      <w:r w:rsidDel="00000000" w:rsidR="00000000" w:rsidRPr="00000000">
        <w:rPr>
          <w:color w:val="232323"/>
          <w:sz w:val="24"/>
          <w:szCs w:val="24"/>
          <w:rtl w:val="0"/>
        </w:rPr>
        <w:t xml:space="preserve">, </w:t>
      </w:r>
      <w:hyperlink r:id="rId70">
        <w:r w:rsidDel="00000000" w:rsidR="00000000" w:rsidRPr="00000000">
          <w:rPr>
            <w:color w:val="232323"/>
            <w:sz w:val="24"/>
            <w:szCs w:val="24"/>
            <w:rtl w:val="0"/>
          </w:rPr>
          <w:t xml:space="preserve">indapamide</w:t>
        </w:r>
      </w:hyperlink>
      <w:r w:rsidDel="00000000" w:rsidR="00000000" w:rsidRPr="00000000">
        <w:rPr>
          <w:color w:val="232323"/>
          <w:sz w:val="24"/>
          <w:szCs w:val="24"/>
          <w:rtl w:val="0"/>
        </w:rPr>
        <w:t xml:space="preserve">) may be used if blood pressure is not controlled with the above agents, or in combination therapy, but are generally reserved due to their modest adverse effects on glucose and lipid metabolism </w:t>
      </w:r>
      <w:hyperlink r:id="rId71">
        <w:r w:rsidDel="00000000" w:rsidR="00000000" w:rsidRPr="00000000">
          <w:rPr>
            <w:color w:val="232323"/>
            <w:sz w:val="24"/>
            <w:szCs w:val="24"/>
            <w:rtl w:val="0"/>
          </w:rPr>
          <w:t xml:space="preserve">[1]</w:t>
        </w:r>
      </w:hyperlink>
      <w:hyperlink r:id="rId72">
        <w:r w:rsidDel="00000000" w:rsidR="00000000" w:rsidRPr="00000000">
          <w:rPr>
            <w:color w:val="232323"/>
            <w:sz w:val="24"/>
            <w:szCs w:val="24"/>
            <w:rtl w:val="0"/>
          </w:rPr>
          <w:t xml:space="preserve">[2]</w:t>
        </w:r>
      </w:hyperlink>
      <w:hyperlink r:id="rId73">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3">
      <w:pPr>
        <w:pStyle w:val="Heading3"/>
        <w:keepNext w:val="0"/>
        <w:keepLines w:val="0"/>
        <w:spacing w:after="40" w:before="460" w:line="346.66666666666663" w:lineRule="auto"/>
        <w:rPr>
          <w:b w:val="1"/>
          <w:bCs w:val="1"/>
          <w:color w:val="232323"/>
          <w:sz w:val="27"/>
          <w:szCs w:val="27"/>
        </w:rPr>
      </w:pPr>
      <w:bookmarkStart w:colFirst="0" w:colLast="0" w:name="_7io98p1qrmfa" w:id="10"/>
      <w:bookmarkEnd w:id="10"/>
      <w:r w:rsidDel="00000000" w:rsidR="00000000" w:rsidRPr="00000000">
        <w:rPr>
          <w:b w:val="1"/>
          <w:bCs w:val="1"/>
          <w:color w:val="232323"/>
          <w:sz w:val="27"/>
          <w:szCs w:val="27"/>
          <w:rtl w:val="0"/>
        </w:rPr>
        <w:t xml:space="preserve">Rationale</w:t>
      </w:r>
    </w:p>
    <w:p w:rsidR="00000000" w:rsidDel="00000000" w:rsidP="00000000" w:rsidRDefault="00000000" w:rsidRPr="00000000" w14:paraId="00000044">
      <w:pPr>
        <w:numPr>
          <w:ilvl w:val="0"/>
          <w:numId w:val="8"/>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The degree of blood pressure reduction is the primary determinant of cardiovascular risk reduction, not the specific drug class, but ACE inhibitors, ARBs, and calcium channel blockers are preferred for their neutral or beneficial metabolic effects </w:t>
      </w:r>
      <w:hyperlink r:id="rId74">
        <w:r w:rsidDel="00000000" w:rsidR="00000000" w:rsidRPr="00000000">
          <w:rPr>
            <w:color w:val="232323"/>
            <w:sz w:val="24"/>
            <w:szCs w:val="24"/>
            <w:rtl w:val="0"/>
          </w:rPr>
          <w:t xml:space="preserve">[1]</w:t>
        </w:r>
      </w:hyperlink>
      <w:hyperlink r:id="rId75">
        <w:r w:rsidDel="00000000" w:rsidR="00000000" w:rsidRPr="00000000">
          <w:rPr>
            <w:color w:val="232323"/>
            <w:sz w:val="24"/>
            <w:szCs w:val="24"/>
            <w:rtl w:val="0"/>
          </w:rPr>
          <w:t xml:space="preserve">[2]</w:t>
        </w:r>
      </w:hyperlink>
      <w:hyperlink r:id="rId76">
        <w:r w:rsidDel="00000000" w:rsidR="00000000" w:rsidRPr="00000000">
          <w:rPr>
            <w:color w:val="232323"/>
            <w:sz w:val="24"/>
            <w:szCs w:val="24"/>
            <w:rtl w:val="0"/>
          </w:rPr>
          <w:t xml:space="preserve">[6]</w:t>
        </w:r>
      </w:hyperlink>
      <w:hyperlink r:id="rId77">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8"/>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Thiazide diuretics can modestly worsen hyperglycemia and lipid profiles, so they are not first-line in patients with metabolic risk unless needed for additional blood pressure control </w:t>
      </w:r>
      <w:hyperlink r:id="rId78">
        <w:r w:rsidDel="00000000" w:rsidR="00000000" w:rsidRPr="00000000">
          <w:rPr>
            <w:color w:val="232323"/>
            <w:sz w:val="24"/>
            <w:szCs w:val="24"/>
            <w:rtl w:val="0"/>
          </w:rPr>
          <w:t xml:space="preserve">[1]</w:t>
        </w:r>
      </w:hyperlink>
      <w:hyperlink r:id="rId79">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8"/>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Most patients will ultimately require more than one antihypertensive agent to reach blood pressure goals; combination therapy with an ACE inhibitor or ARB plus a dihydropyridine calcium channel blocker is preferred if monotherapy is insufficient </w:t>
      </w:r>
      <w:hyperlink r:id="rId80">
        <w:r w:rsidDel="00000000" w:rsidR="00000000" w:rsidRPr="00000000">
          <w:rPr>
            <w:color w:val="232323"/>
            <w:sz w:val="24"/>
            <w:szCs w:val="24"/>
            <w:rtl w:val="0"/>
          </w:rPr>
          <w:t xml:space="preserve">[8]</w:t>
        </w:r>
      </w:hyperlink>
      <w:hyperlink r:id="rId81">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pacing w:after="40" w:before="460" w:line="346.66666666666663" w:lineRule="auto"/>
        <w:rPr>
          <w:b w:val="1"/>
          <w:bCs w:val="1"/>
          <w:color w:val="232323"/>
          <w:sz w:val="27"/>
          <w:szCs w:val="27"/>
        </w:rPr>
      </w:pPr>
      <w:bookmarkStart w:colFirst="0" w:colLast="0" w:name="_wbb8v7l8tyjx"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48">
      <w:pPr>
        <w:numPr>
          <w:ilvl w:val="0"/>
          <w:numId w:val="15"/>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ACE inhibitors, ARBs, and dihydropyridine calcium channel blockers are preferred for initial therapy in patients with metabolic risk </w:t>
      </w:r>
      <w:hyperlink r:id="rId82">
        <w:r w:rsidDel="00000000" w:rsidR="00000000" w:rsidRPr="00000000">
          <w:rPr>
            <w:color w:val="232323"/>
            <w:sz w:val="24"/>
            <w:szCs w:val="24"/>
            <w:rtl w:val="0"/>
          </w:rPr>
          <w:t xml:space="preserve">[1]</w:t>
        </w:r>
      </w:hyperlink>
      <w:hyperlink r:id="rId83">
        <w:r w:rsidDel="00000000" w:rsidR="00000000" w:rsidRPr="00000000">
          <w:rPr>
            <w:color w:val="232323"/>
            <w:sz w:val="24"/>
            <w:szCs w:val="24"/>
            <w:rtl w:val="0"/>
          </w:rPr>
          <w:t xml:space="preserve">[2]</w:t>
        </w:r>
      </w:hyperlink>
      <w:hyperlink r:id="rId84">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1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Thiazide diuretics are reserved for patients not controlled on preferred agents, due to modest adverse metabolic effects </w:t>
      </w:r>
      <w:hyperlink r:id="rId85">
        <w:r w:rsidDel="00000000" w:rsidR="00000000" w:rsidRPr="00000000">
          <w:rPr>
            <w:color w:val="232323"/>
            <w:sz w:val="24"/>
            <w:szCs w:val="24"/>
            <w:rtl w:val="0"/>
          </w:rPr>
          <w:t xml:space="preserve">[1]</w:t>
        </w:r>
      </w:hyperlink>
      <w:hyperlink r:id="rId86">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1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Combination therapy is often required; ACE inhibitor or ARB plus dihydropyridine calcium channel blocker is preferred </w:t>
      </w:r>
      <w:hyperlink r:id="rId87">
        <w:r w:rsidDel="00000000" w:rsidR="00000000" w:rsidRPr="00000000">
          <w:rPr>
            <w:color w:val="232323"/>
            <w:sz w:val="24"/>
            <w:szCs w:val="24"/>
            <w:rtl w:val="0"/>
          </w:rPr>
          <w:t xml:space="preserve">[8]</w:t>
        </w:r>
      </w:hyperlink>
      <w:hyperlink r:id="rId88">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1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Lifestyle modification (weight reduction, increased physical activity, dietary changes) remains the cornerstone of management for metabolic syndrome </w:t>
      </w:r>
      <w:hyperlink r:id="rId89">
        <w:r w:rsidDel="00000000" w:rsidR="00000000" w:rsidRPr="00000000">
          <w:rPr>
            <w:color w:val="232323"/>
            <w:sz w:val="24"/>
            <w:szCs w:val="24"/>
            <w:rtl w:val="0"/>
          </w:rPr>
          <w:t xml:space="preserve">[10]</w:t>
        </w:r>
      </w:hyperlink>
      <w:hyperlink r:id="rId90">
        <w:r w:rsidDel="00000000" w:rsidR="00000000" w:rsidRPr="00000000">
          <w:rPr>
            <w:color w:val="232323"/>
            <w:sz w:val="24"/>
            <w:szCs w:val="24"/>
            <w:rtl w:val="0"/>
          </w:rPr>
          <w:t xml:space="preserve">[11]</w:t>
        </w:r>
      </w:hyperlink>
      <w:hyperlink r:id="rId91">
        <w:r w:rsidDel="00000000" w:rsidR="00000000" w:rsidRPr="00000000">
          <w:rPr>
            <w:color w:val="232323"/>
            <w:sz w:val="24"/>
            <w:szCs w:val="24"/>
            <w:rtl w:val="0"/>
          </w:rPr>
          <w:t xml:space="preserve">[12]</w:t>
        </w:r>
      </w:hyperlink>
      <w:hyperlink r:id="rId92">
        <w:r w:rsidDel="00000000" w:rsidR="00000000" w:rsidRPr="00000000">
          <w:rPr>
            <w:color w:val="232323"/>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4C">
      <w:pPr>
        <w:numPr>
          <w:ilvl w:val="0"/>
          <w:numId w:val="15"/>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Monitor for adverse effects and adjust therapy based on individual patient characteristics and comorbidities </w:t>
      </w:r>
      <w:hyperlink r:id="rId93">
        <w:r w:rsidDel="00000000" w:rsidR="00000000" w:rsidRPr="00000000">
          <w:rPr>
            <w:color w:val="232323"/>
            <w:sz w:val="24"/>
            <w:szCs w:val="24"/>
            <w:rtl w:val="0"/>
          </w:rPr>
          <w:t xml:space="preserve">[1]</w:t>
        </w:r>
      </w:hyperlink>
      <w:hyperlink r:id="rId94">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D">
      <w:pPr>
        <w:pStyle w:val="Heading3"/>
        <w:keepNext w:val="0"/>
        <w:keepLines w:val="0"/>
        <w:spacing w:after="40" w:before="460" w:line="346.66666666666663" w:lineRule="auto"/>
        <w:rPr>
          <w:b w:val="1"/>
          <w:bCs w:val="1"/>
          <w:color w:val="232323"/>
          <w:sz w:val="27"/>
          <w:szCs w:val="27"/>
        </w:rPr>
      </w:pPr>
      <w:bookmarkStart w:colFirst="0" w:colLast="0" w:name="_ahxbys2fu3l4" w:id="12"/>
      <w:bookmarkEnd w:id="12"/>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4E">
      <w:pPr>
        <w:numPr>
          <w:ilvl w:val="0"/>
          <w:numId w:val="5"/>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Review the </w:t>
      </w:r>
      <w:hyperlink r:id="rId95">
        <w:r w:rsidDel="00000000" w:rsidR="00000000" w:rsidRPr="00000000">
          <w:rPr>
            <w:color w:val="232323"/>
            <w:sz w:val="24"/>
            <w:szCs w:val="24"/>
            <w:rtl w:val="0"/>
          </w:rPr>
          <w:t xml:space="preserve"> Selection of initial antihypertensive therapy algorithm</w:t>
        </w:r>
      </w:hyperlink>
      <w:r w:rsidDel="00000000" w:rsidR="00000000" w:rsidRPr="00000000">
        <w:rPr>
          <w:color w:val="232323"/>
          <w:sz w:val="24"/>
          <w:szCs w:val="24"/>
          <w:rtl w:val="0"/>
        </w:rPr>
        <w:t xml:space="preserve"> for a stepwise approach to drug selection in adults with hypertension and metabolic risk </w:t>
      </w:r>
      <w:hyperlink r:id="rId96">
        <w:r w:rsidDel="00000000" w:rsidR="00000000" w:rsidRPr="00000000">
          <w:rPr>
            <w:color w:val="232323"/>
            <w:sz w:val="24"/>
            <w:szCs w:val="24"/>
            <w:rtl w:val="0"/>
          </w:rPr>
          <w:t xml:space="preserve">[3]</w:t>
        </w:r>
      </w:hyperlink>
      <w:hyperlink r:id="rId97">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5"/>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See </w:t>
      </w:r>
      <w:hyperlink r:id="rId98">
        <w:r w:rsidDel="00000000" w:rsidR="00000000" w:rsidRPr="00000000">
          <w:rPr>
            <w:color w:val="232323"/>
            <w:sz w:val="24"/>
            <w:szCs w:val="24"/>
            <w:rtl w:val="0"/>
          </w:rPr>
          <w:t xml:space="preserve"> Considerations for individualizing antihypertensive therapy</w:t>
        </w:r>
      </w:hyperlink>
      <w:r w:rsidDel="00000000" w:rsidR="00000000" w:rsidRPr="00000000">
        <w:rPr>
          <w:color w:val="232323"/>
          <w:sz w:val="24"/>
          <w:szCs w:val="24"/>
          <w:rtl w:val="0"/>
        </w:rPr>
        <w:t xml:space="preserve"> for drug selection based on comorbidities </w:t>
      </w:r>
      <w:hyperlink r:id="rId99">
        <w:r w:rsidDel="00000000" w:rsidR="00000000" w:rsidRPr="00000000">
          <w:rPr>
            <w:color w:val="232323"/>
            <w:sz w:val="24"/>
            <w:szCs w:val="24"/>
            <w:rtl w:val="0"/>
          </w:rPr>
          <w:t xml:space="preserve">[3]</w:t>
        </w:r>
      </w:hyperlink>
      <w:hyperlink r:id="rId100">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0">
      <w:pPr>
        <w:pStyle w:val="Heading3"/>
        <w:keepNext w:val="0"/>
        <w:keepLines w:val="0"/>
        <w:spacing w:after="40" w:before="460" w:line="346.66666666666663" w:lineRule="auto"/>
        <w:rPr>
          <w:b w:val="1"/>
          <w:bCs w:val="1"/>
          <w:color w:val="232323"/>
          <w:sz w:val="27"/>
          <w:szCs w:val="27"/>
        </w:rPr>
      </w:pPr>
      <w:bookmarkStart w:colFirst="0" w:colLast="0" w:name="_ug83xqufu93d"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51">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2">
      <w:pPr>
        <w:numPr>
          <w:ilvl w:val="0"/>
          <w:numId w:val="12"/>
        </w:numPr>
        <w:spacing w:after="0" w:afterAutospacing="0" w:before="220" w:line="390" w:lineRule="auto"/>
        <w:ind w:left="720" w:hanging="360"/>
        <w:rPr>
          <w:color w:val="1155cc"/>
        </w:rPr>
      </w:pPr>
      <w:hyperlink r:id="rId101">
        <w:r w:rsidDel="00000000" w:rsidR="00000000" w:rsidRPr="00000000">
          <w:rPr>
            <w:color w:val="1155cc"/>
            <w:sz w:val="24"/>
            <w:szCs w:val="24"/>
            <w:rtl w:val="0"/>
          </w:rPr>
          <w:t xml:space="preserve">What if the patient has chronic kidney disease or albuminuria?</w:t>
        </w:r>
      </w:hyperlink>
      <w:r w:rsidDel="00000000" w:rsidR="00000000" w:rsidRPr="00000000">
        <w:rPr>
          <w:rtl w:val="0"/>
        </w:rPr>
      </w:r>
    </w:p>
    <w:p w:rsidR="00000000" w:rsidDel="00000000" w:rsidP="00000000" w:rsidRDefault="00000000" w:rsidRPr="00000000" w14:paraId="00000053">
      <w:pPr>
        <w:numPr>
          <w:ilvl w:val="0"/>
          <w:numId w:val="12"/>
        </w:numPr>
        <w:spacing w:after="0" w:afterAutospacing="0" w:before="0" w:beforeAutospacing="0" w:line="390" w:lineRule="auto"/>
        <w:ind w:left="720" w:hanging="360"/>
        <w:rPr>
          <w:color w:val="1155cc"/>
        </w:rPr>
      </w:pPr>
      <w:hyperlink r:id="rId102">
        <w:r w:rsidDel="00000000" w:rsidR="00000000" w:rsidRPr="00000000">
          <w:rPr>
            <w:color w:val="1155cc"/>
            <w:sz w:val="24"/>
            <w:szCs w:val="24"/>
            <w:rtl w:val="0"/>
          </w:rPr>
          <w:t xml:space="preserve">What if the patient has heart failure or recent myocardial infarction?</w:t>
        </w:r>
      </w:hyperlink>
      <w:r w:rsidDel="00000000" w:rsidR="00000000" w:rsidRPr="00000000">
        <w:rPr>
          <w:rtl w:val="0"/>
        </w:rPr>
      </w:r>
    </w:p>
    <w:p w:rsidR="00000000" w:rsidDel="00000000" w:rsidP="00000000" w:rsidRDefault="00000000" w:rsidRPr="00000000" w14:paraId="00000054">
      <w:pPr>
        <w:numPr>
          <w:ilvl w:val="0"/>
          <w:numId w:val="12"/>
        </w:numPr>
        <w:spacing w:after="0" w:afterAutospacing="0" w:before="0" w:beforeAutospacing="0" w:line="390" w:lineRule="auto"/>
        <w:ind w:left="720" w:hanging="360"/>
        <w:rPr>
          <w:color w:val="1155cc"/>
        </w:rPr>
      </w:pPr>
      <w:hyperlink r:id="rId103">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55">
      <w:pPr>
        <w:numPr>
          <w:ilvl w:val="0"/>
          <w:numId w:val="12"/>
        </w:numPr>
        <w:spacing w:after="0" w:afterAutospacing="0" w:before="0" w:beforeAutospacing="0" w:line="390" w:lineRule="auto"/>
        <w:ind w:left="720" w:hanging="360"/>
        <w:rPr>
          <w:color w:val="1155cc"/>
        </w:rPr>
      </w:pPr>
      <w:hyperlink r:id="rId104">
        <w:r w:rsidDel="00000000" w:rsidR="00000000" w:rsidRPr="00000000">
          <w:rPr>
            <w:color w:val="1155cc"/>
            <w:sz w:val="24"/>
            <w:szCs w:val="24"/>
            <w:rtl w:val="0"/>
          </w:rPr>
          <w:t xml:space="preserve">What if the patient is elderly or frail?</w:t>
        </w:r>
      </w:hyperlink>
      <w:r w:rsidDel="00000000" w:rsidR="00000000" w:rsidRPr="00000000">
        <w:rPr>
          <w:rtl w:val="0"/>
        </w:rPr>
      </w:r>
    </w:p>
    <w:p w:rsidR="00000000" w:rsidDel="00000000" w:rsidP="00000000" w:rsidRDefault="00000000" w:rsidRPr="00000000" w14:paraId="00000056">
      <w:pPr>
        <w:numPr>
          <w:ilvl w:val="0"/>
          <w:numId w:val="12"/>
        </w:numPr>
        <w:spacing w:after="240" w:before="0" w:beforeAutospacing="0" w:line="390" w:lineRule="auto"/>
        <w:ind w:left="720" w:hanging="360"/>
        <w:rPr>
          <w:color w:val="1155cc"/>
        </w:rPr>
      </w:pPr>
      <w:hyperlink r:id="rId105">
        <w:r w:rsidDel="00000000" w:rsidR="00000000" w:rsidRPr="00000000">
          <w:rPr>
            <w:color w:val="1155cc"/>
            <w:sz w:val="24"/>
            <w:szCs w:val="24"/>
            <w:rtl w:val="0"/>
          </w:rPr>
          <w:t xml:space="preserve">What if the patient has medication intolerance or allergy?</w:t>
        </w:r>
      </w:hyperlink>
      <w:r w:rsidDel="00000000" w:rsidR="00000000" w:rsidRPr="00000000">
        <w:rPr>
          <w:rtl w:val="0"/>
        </w:rPr>
      </w:r>
    </w:p>
    <w:p w:rsidR="00000000" w:rsidDel="00000000" w:rsidP="00000000" w:rsidRDefault="00000000" w:rsidRPr="00000000" w14:paraId="00000057">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combination therapy or monitoring.</w:t>
      </w:r>
    </w:p>
    <w:p w:rsidR="00000000" w:rsidDel="00000000" w:rsidP="00000000" w:rsidRDefault="00000000" w:rsidRPr="00000000" w14:paraId="00000058">
      <w:pPr>
        <w:pStyle w:val="Heading3"/>
        <w:keepNext w:val="0"/>
        <w:keepLines w:val="0"/>
        <w:spacing w:after="40" w:before="460" w:line="346.66666666666663" w:lineRule="auto"/>
        <w:rPr>
          <w:b w:val="1"/>
          <w:bCs w:val="1"/>
          <w:color w:val="1155cc"/>
          <w:sz w:val="27"/>
          <w:szCs w:val="27"/>
        </w:rPr>
      </w:pPr>
      <w:bookmarkStart w:colFirst="0" w:colLast="0" w:name="_jzu9iqs5yk44" w:id="14"/>
      <w:bookmarkEnd w:id="14"/>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59">
      <w:pPr>
        <w:numPr>
          <w:ilvl w:val="0"/>
          <w:numId w:val="14"/>
        </w:numPr>
        <w:spacing w:after="0" w:afterAutospacing="0" w:before="240" w:lineRule="auto"/>
        <w:ind w:left="720" w:hanging="360"/>
        <w:rPr>
          <w:color w:val="1155cc"/>
        </w:rPr>
      </w:pPr>
      <w:hyperlink r:id="rId106">
        <w:r w:rsidDel="00000000" w:rsidR="00000000" w:rsidRPr="00000000">
          <w:rPr>
            <w:color w:val="1155cc"/>
            <w:sz w:val="24"/>
            <w:szCs w:val="24"/>
            <w:rtl w:val="0"/>
          </w:rPr>
          <w:t xml:space="preserve">Metabolic syndrome (insulin resistance syndrome or syndrome X) &gt; THERAPY &gt; Manage modifiable cardiovascular risk factors &gt; Antihypertensive therapy</w:t>
        </w:r>
      </w:hyperlink>
      <w:r w:rsidDel="00000000" w:rsidR="00000000" w:rsidRPr="00000000">
        <w:rPr>
          <w:rtl w:val="0"/>
        </w:rPr>
      </w:r>
    </w:p>
    <w:p w:rsidR="00000000" w:rsidDel="00000000" w:rsidP="00000000" w:rsidRDefault="00000000" w:rsidRPr="00000000" w14:paraId="0000005A">
      <w:pPr>
        <w:numPr>
          <w:ilvl w:val="0"/>
          <w:numId w:val="14"/>
        </w:numPr>
        <w:spacing w:after="0" w:afterAutospacing="0" w:before="0" w:beforeAutospacing="0" w:lineRule="auto"/>
        <w:ind w:left="720" w:hanging="360"/>
        <w:rPr>
          <w:color w:val="1155cc"/>
        </w:rPr>
      </w:pPr>
      <w:hyperlink r:id="rId107">
        <w:r w:rsidDel="00000000" w:rsidR="00000000" w:rsidRPr="00000000">
          <w:rPr>
            <w:color w:val="1155cc"/>
            <w:sz w:val="24"/>
            <w:szCs w:val="24"/>
            <w:rtl w:val="0"/>
          </w:rPr>
          <w:t xml:space="preserve">Metabolic syndrome (insulin resistance syndrome or syndrome X) &gt; SUMMARY AND RECOMMENDATIONS</w:t>
        </w:r>
      </w:hyperlink>
      <w:r w:rsidDel="00000000" w:rsidR="00000000" w:rsidRPr="00000000">
        <w:rPr>
          <w:rtl w:val="0"/>
        </w:rPr>
      </w:r>
    </w:p>
    <w:p w:rsidR="00000000" w:rsidDel="00000000" w:rsidP="00000000" w:rsidRDefault="00000000" w:rsidRPr="00000000" w14:paraId="0000005B">
      <w:pPr>
        <w:numPr>
          <w:ilvl w:val="0"/>
          <w:numId w:val="14"/>
        </w:numPr>
        <w:spacing w:after="0" w:afterAutospacing="0" w:before="0" w:beforeAutospacing="0" w:lineRule="auto"/>
        <w:ind w:left="720" w:hanging="360"/>
        <w:rPr>
          <w:color w:val="1155cc"/>
        </w:rPr>
      </w:pPr>
      <w:hyperlink r:id="rId108">
        <w:r w:rsidDel="00000000" w:rsidR="00000000" w:rsidRPr="00000000">
          <w:rPr>
            <w:color w:val="1155cc"/>
            <w:sz w:val="24"/>
            <w:szCs w:val="24"/>
            <w:rtl w:val="0"/>
          </w:rPr>
          <w:t xml:space="preserve">Hypertension in adults: Initial drug therapy &gt; INITIAL TREATMENT BY BLOOD PRESSURE STAGE &gt; SBP 130 to 139 mmHg and/or DBP 80 to 89 mmHg (stage 1 hypertension) &gt; Patients at increased cardiovascular risk &gt; Choice of drug in most patients</w:t>
        </w:r>
      </w:hyperlink>
      <w:r w:rsidDel="00000000" w:rsidR="00000000" w:rsidRPr="00000000">
        <w:rPr>
          <w:rtl w:val="0"/>
        </w:rPr>
      </w:r>
    </w:p>
    <w:p w:rsidR="00000000" w:rsidDel="00000000" w:rsidP="00000000" w:rsidRDefault="00000000" w:rsidRPr="00000000" w14:paraId="0000005C">
      <w:pPr>
        <w:numPr>
          <w:ilvl w:val="0"/>
          <w:numId w:val="14"/>
        </w:numPr>
        <w:spacing w:after="0" w:afterAutospacing="0" w:before="0" w:beforeAutospacing="0" w:lineRule="auto"/>
        <w:ind w:left="720" w:hanging="360"/>
        <w:rPr>
          <w:color w:val="1155cc"/>
        </w:rPr>
      </w:pPr>
      <w:hyperlink r:id="rId109">
        <w:r w:rsidDel="00000000" w:rsidR="00000000" w:rsidRPr="00000000">
          <w:rPr>
            <w:color w:val="1155cc"/>
            <w:sz w:val="24"/>
            <w:szCs w:val="24"/>
            <w:rtl w:val="0"/>
          </w:rPr>
          <w:t xml:space="preserve">Treatment of hypertension in patients with diabetes mellitus &gt; APPROACH TO LOWERING BLOOD PRESSURE &gt; Choice of antihypertensive drug therapy &gt; Overview of our approach</w:t>
        </w:r>
      </w:hyperlink>
      <w:r w:rsidDel="00000000" w:rsidR="00000000" w:rsidRPr="00000000">
        <w:rPr>
          <w:rtl w:val="0"/>
        </w:rPr>
      </w:r>
    </w:p>
    <w:p w:rsidR="00000000" w:rsidDel="00000000" w:rsidP="00000000" w:rsidRDefault="00000000" w:rsidRPr="00000000" w14:paraId="0000005D">
      <w:pPr>
        <w:numPr>
          <w:ilvl w:val="0"/>
          <w:numId w:val="14"/>
        </w:numPr>
        <w:spacing w:after="0" w:afterAutospacing="0" w:before="0" w:beforeAutospacing="0" w:lineRule="auto"/>
        <w:ind w:left="720" w:hanging="360"/>
        <w:rPr>
          <w:color w:val="1155cc"/>
        </w:rPr>
      </w:pPr>
      <w:hyperlink r:id="rId110">
        <w:r w:rsidDel="00000000" w:rsidR="00000000" w:rsidRPr="00000000">
          <w:rPr>
            <w:color w:val="1155cc"/>
            <w:sz w:val="24"/>
            <w:szCs w:val="24"/>
            <w:rtl w:val="0"/>
          </w:rPr>
          <w:t xml:space="preserve">Treatment of hypertension in patients with diabetes mellitus &gt; APPROACH TO LOWERING BLOOD PRESSURE &gt; Choice of antihypertensive drug therapy &gt; Severely increased albuminuria (300 mg/day or higher)</w:t>
        </w:r>
      </w:hyperlink>
      <w:r w:rsidDel="00000000" w:rsidR="00000000" w:rsidRPr="00000000">
        <w:rPr>
          <w:rtl w:val="0"/>
        </w:rPr>
      </w:r>
    </w:p>
    <w:p w:rsidR="00000000" w:rsidDel="00000000" w:rsidP="00000000" w:rsidRDefault="00000000" w:rsidRPr="00000000" w14:paraId="0000005E">
      <w:pPr>
        <w:numPr>
          <w:ilvl w:val="0"/>
          <w:numId w:val="14"/>
        </w:numPr>
        <w:spacing w:after="0" w:afterAutospacing="0" w:before="0" w:beforeAutospacing="0" w:lineRule="auto"/>
        <w:ind w:left="720" w:hanging="360"/>
        <w:rPr>
          <w:color w:val="1155cc"/>
        </w:rPr>
      </w:pPr>
      <w:hyperlink r:id="rId111">
        <w:r w:rsidDel="00000000" w:rsidR="00000000" w:rsidRPr="00000000">
          <w:rPr>
            <w:color w:val="1155cc"/>
            <w:sz w:val="24"/>
            <w:szCs w:val="24"/>
            <w:rtl w:val="0"/>
          </w:rPr>
          <w:t xml:space="preserve">Treatment of hypertension in older adults, particularly isolated systolic hypertension &gt; DRUG THERAPY &gt; Choice of antihypertensive drugs &gt; Summary of antihypertensive drug choice</w:t>
        </w:r>
      </w:hyperlink>
      <w:r w:rsidDel="00000000" w:rsidR="00000000" w:rsidRPr="00000000">
        <w:rPr>
          <w:rtl w:val="0"/>
        </w:rPr>
      </w:r>
    </w:p>
    <w:p w:rsidR="00000000" w:rsidDel="00000000" w:rsidP="00000000" w:rsidRDefault="00000000" w:rsidRPr="00000000" w14:paraId="0000005F">
      <w:pPr>
        <w:numPr>
          <w:ilvl w:val="0"/>
          <w:numId w:val="14"/>
        </w:numPr>
        <w:spacing w:after="0" w:afterAutospacing="0" w:before="0" w:beforeAutospacing="0" w:lineRule="auto"/>
        <w:ind w:left="720" w:hanging="360"/>
        <w:rPr>
          <w:color w:val="1155cc"/>
        </w:rPr>
      </w:pPr>
      <w:hyperlink r:id="rId112">
        <w:r w:rsidDel="00000000" w:rsidR="00000000" w:rsidRPr="00000000">
          <w:rPr>
            <w:color w:val="1155cc"/>
            <w:sz w:val="24"/>
            <w:szCs w:val="24"/>
            <w:rtl w:val="0"/>
          </w:rPr>
          <w:t xml:space="preserve">Overview of hypertension in adults &gt; TREATMENT &gt; Pharmacologic therapy &gt; Choice of initial antihypertensive agents</w:t>
        </w:r>
      </w:hyperlink>
      <w:r w:rsidDel="00000000" w:rsidR="00000000" w:rsidRPr="00000000">
        <w:rPr>
          <w:rtl w:val="0"/>
        </w:rPr>
      </w:r>
    </w:p>
    <w:p w:rsidR="00000000" w:rsidDel="00000000" w:rsidP="00000000" w:rsidRDefault="00000000" w:rsidRPr="00000000" w14:paraId="00000060">
      <w:pPr>
        <w:numPr>
          <w:ilvl w:val="0"/>
          <w:numId w:val="14"/>
        </w:numPr>
        <w:spacing w:after="0" w:afterAutospacing="0" w:before="0" w:beforeAutospacing="0" w:lineRule="auto"/>
        <w:ind w:left="720" w:hanging="360"/>
        <w:rPr>
          <w:color w:val="1155cc"/>
        </w:rPr>
      </w:pPr>
      <w:hyperlink r:id="rId113">
        <w:r w:rsidDel="00000000" w:rsidR="00000000" w:rsidRPr="00000000">
          <w:rPr>
            <w:color w:val="1155cc"/>
            <w:sz w:val="24"/>
            <w:szCs w:val="24"/>
            <w:rtl w:val="0"/>
          </w:rPr>
          <w:t xml:space="preserve">Overview of hypertension in adults &gt; TREATMENT &gt; Pharmacologic therapy &gt; Choice of initial antihypertensive agents &gt; Combination therapy</w:t>
        </w:r>
      </w:hyperlink>
      <w:r w:rsidDel="00000000" w:rsidR="00000000" w:rsidRPr="00000000">
        <w:rPr>
          <w:rtl w:val="0"/>
        </w:rPr>
      </w:r>
    </w:p>
    <w:p w:rsidR="00000000" w:rsidDel="00000000" w:rsidP="00000000" w:rsidRDefault="00000000" w:rsidRPr="00000000" w14:paraId="00000061">
      <w:pPr>
        <w:numPr>
          <w:ilvl w:val="0"/>
          <w:numId w:val="14"/>
        </w:numPr>
        <w:spacing w:after="0" w:afterAutospacing="0" w:before="0" w:beforeAutospacing="0" w:lineRule="auto"/>
        <w:ind w:left="720" w:hanging="360"/>
        <w:rPr>
          <w:color w:val="1155cc"/>
        </w:rPr>
      </w:pPr>
      <w:hyperlink r:id="rId114">
        <w:r w:rsidDel="00000000" w:rsidR="00000000" w:rsidRPr="00000000">
          <w:rPr>
            <w:color w:val="1155cc"/>
            <w:sz w:val="24"/>
            <w:szCs w:val="24"/>
            <w:rtl w:val="0"/>
          </w:rPr>
          <w:t xml:space="preserve">Hypertension in adults: Initial drug therapy &gt; INITIAL TREATMENT BY BLOOD PRESSURE STAGE &gt; SBP 140 to 180 mmHg and/or DBP 90 to 120 mmHg (stage 2 hypertension) &gt; Combination therapy for most patients &gt; Drug selection</w:t>
        </w:r>
      </w:hyperlink>
      <w:r w:rsidDel="00000000" w:rsidR="00000000" w:rsidRPr="00000000">
        <w:rPr>
          <w:rtl w:val="0"/>
        </w:rPr>
      </w:r>
    </w:p>
    <w:p w:rsidR="00000000" w:rsidDel="00000000" w:rsidP="00000000" w:rsidRDefault="00000000" w:rsidRPr="00000000" w14:paraId="00000062">
      <w:pPr>
        <w:numPr>
          <w:ilvl w:val="0"/>
          <w:numId w:val="14"/>
        </w:numPr>
        <w:spacing w:after="0" w:afterAutospacing="0" w:before="0" w:beforeAutospacing="0" w:lineRule="auto"/>
        <w:ind w:left="720" w:hanging="360"/>
        <w:rPr>
          <w:color w:val="1155cc"/>
        </w:rPr>
      </w:pPr>
      <w:hyperlink r:id="rId115">
        <w:r w:rsidDel="00000000" w:rsidR="00000000" w:rsidRPr="00000000">
          <w:rPr>
            <w:color w:val="1155cc"/>
            <w:sz w:val="24"/>
            <w:szCs w:val="24"/>
            <w:rtl w:val="0"/>
          </w:rPr>
          <w:t xml:space="preserve">Metabolic syndrome (insulin resistance syndrome or syndrome X) &gt; THERAPY &gt; Goals and rationale of therapy</w:t>
        </w:r>
      </w:hyperlink>
      <w:r w:rsidDel="00000000" w:rsidR="00000000" w:rsidRPr="00000000">
        <w:rPr>
          <w:rtl w:val="0"/>
        </w:rPr>
      </w:r>
    </w:p>
    <w:p w:rsidR="00000000" w:rsidDel="00000000" w:rsidP="00000000" w:rsidRDefault="00000000" w:rsidRPr="00000000" w14:paraId="00000063">
      <w:pPr>
        <w:numPr>
          <w:ilvl w:val="0"/>
          <w:numId w:val="14"/>
        </w:numPr>
        <w:spacing w:after="0" w:afterAutospacing="0" w:before="0" w:beforeAutospacing="0" w:lineRule="auto"/>
        <w:ind w:left="720" w:hanging="360"/>
        <w:rPr>
          <w:color w:val="1155cc"/>
        </w:rPr>
      </w:pPr>
      <w:hyperlink r:id="rId116">
        <w:r w:rsidDel="00000000" w:rsidR="00000000" w:rsidRPr="00000000">
          <w:rPr>
            <w:color w:val="1155cc"/>
            <w:sz w:val="24"/>
            <w:szCs w:val="24"/>
            <w:rtl w:val="0"/>
          </w:rPr>
          <w:t xml:space="preserve">Metabolic syndrome (insulin resistance syndrome or syndrome X) &gt; THERAPY &gt; Lifestyle modification and weight reduction</w:t>
        </w:r>
      </w:hyperlink>
      <w:r w:rsidDel="00000000" w:rsidR="00000000" w:rsidRPr="00000000">
        <w:rPr>
          <w:rtl w:val="0"/>
        </w:rPr>
      </w:r>
    </w:p>
    <w:p w:rsidR="00000000" w:rsidDel="00000000" w:rsidP="00000000" w:rsidRDefault="00000000" w:rsidRPr="00000000" w14:paraId="00000064">
      <w:pPr>
        <w:numPr>
          <w:ilvl w:val="0"/>
          <w:numId w:val="14"/>
        </w:numPr>
        <w:spacing w:after="0" w:afterAutospacing="0" w:before="0" w:beforeAutospacing="0" w:lineRule="auto"/>
        <w:ind w:left="720" w:hanging="360"/>
        <w:rPr>
          <w:color w:val="1155cc"/>
        </w:rPr>
      </w:pPr>
      <w:hyperlink r:id="rId117">
        <w:r w:rsidDel="00000000" w:rsidR="00000000" w:rsidRPr="00000000">
          <w:rPr>
            <w:color w:val="1155cc"/>
            <w:sz w:val="24"/>
            <w:szCs w:val="24"/>
            <w:rtl w:val="0"/>
          </w:rPr>
          <w:t xml:space="preserve">Metabolic syndrome (insulin resistance syndrome or syndrome X) &gt; THERAPY &gt; Lifestyle modification and weight reduction &gt; Diet</w:t>
        </w:r>
      </w:hyperlink>
      <w:r w:rsidDel="00000000" w:rsidR="00000000" w:rsidRPr="00000000">
        <w:rPr>
          <w:rtl w:val="0"/>
        </w:rPr>
      </w:r>
    </w:p>
    <w:p w:rsidR="00000000" w:rsidDel="00000000" w:rsidP="00000000" w:rsidRDefault="00000000" w:rsidRPr="00000000" w14:paraId="00000065">
      <w:pPr>
        <w:numPr>
          <w:ilvl w:val="0"/>
          <w:numId w:val="14"/>
        </w:numPr>
        <w:spacing w:after="240" w:before="0" w:beforeAutospacing="0" w:lineRule="auto"/>
        <w:ind w:left="720" w:hanging="360"/>
        <w:rPr>
          <w:color w:val="1155cc"/>
        </w:rPr>
      </w:pPr>
      <w:hyperlink r:id="rId118">
        <w:r w:rsidDel="00000000" w:rsidR="00000000" w:rsidRPr="00000000">
          <w:rPr>
            <w:color w:val="1155cc"/>
            <w:sz w:val="24"/>
            <w:szCs w:val="24"/>
            <w:rtl w:val="0"/>
          </w:rPr>
          <w:t xml:space="preserve">Metabolic syndrome (insulin resistance syndrome or syndrome X) &gt; THERAPY &gt; Lifestyle modification and weight reduction &gt; Exercise</w:t>
        </w:r>
      </w:hyperlink>
      <w:r w:rsidDel="00000000" w:rsidR="00000000" w:rsidRPr="00000000">
        <w:rPr>
          <w:rtl w:val="0"/>
        </w:rPr>
      </w:r>
    </w:p>
    <w:p w:rsidR="00000000" w:rsidDel="00000000" w:rsidP="00000000" w:rsidRDefault="00000000" w:rsidRPr="00000000" w14:paraId="000000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n33qwcvbhq"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68</w:t>
      </w:r>
      <w:r w:rsidDel="00000000" w:rsidR="00000000" w:rsidRPr="00000000">
        <w:rPr>
          <w:rtl w:val="0"/>
        </w:rPr>
      </w:r>
    </w:p>
    <w:p w:rsidR="00000000" w:rsidDel="00000000" w:rsidP="00000000" w:rsidRDefault="00000000" w:rsidRPr="00000000" w14:paraId="00000068">
      <w:pPr>
        <w:spacing w:line="390" w:lineRule="auto"/>
        <w:rPr>
          <w:color w:val="232323"/>
          <w:sz w:val="24"/>
          <w:szCs w:val="24"/>
        </w:rPr>
      </w:pPr>
      <w:r w:rsidDel="00000000" w:rsidR="00000000" w:rsidRPr="00000000">
        <w:rPr>
          <w:color w:val="232323"/>
          <w:sz w:val="24"/>
          <w:szCs w:val="24"/>
          <w:rtl w:val="0"/>
        </w:rPr>
        <w:t xml:space="preserve">ASSUMPTIONS: You are asking about the recommended follow-up interval for cervical cancer screening after a negative HPV test in an average-risk adult patient.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line="390" w:lineRule="auto"/>
        <w:rPr>
          <w:color w:val="232323"/>
          <w:sz w:val="24"/>
          <w:szCs w:val="24"/>
        </w:rPr>
      </w:pPr>
      <w:r w:rsidDel="00000000" w:rsidR="00000000" w:rsidRPr="00000000">
        <w:rPr>
          <w:color w:val="232323"/>
          <w:sz w:val="24"/>
          <w:szCs w:val="24"/>
          <w:rtl w:val="0"/>
        </w:rPr>
        <w:t xml:space="preserve">For average-risk adults who have a negative HPV test, the recommended follow-up interval for cervical cancer screening is five years</w:t>
      </w:r>
      <w:hyperlink r:id="rId119">
        <w:r w:rsidDel="00000000" w:rsidR="00000000" w:rsidRPr="00000000">
          <w:rPr>
            <w:color w:val="232323"/>
            <w:sz w:val="24"/>
            <w:szCs w:val="24"/>
            <w:rtl w:val="0"/>
          </w:rPr>
          <w:t xml:space="preserve"> </w:t>
        </w:r>
      </w:hyperlink>
      <w:hyperlink r:id="rId120">
        <w:r w:rsidDel="00000000" w:rsidR="00000000" w:rsidRPr="00000000">
          <w:rPr>
            <w:color w:val="1155cc"/>
            <w:sz w:val="24"/>
            <w:szCs w:val="24"/>
            <w:rtl w:val="0"/>
          </w:rPr>
          <w:t xml:space="preserve">[1]</w:t>
        </w:r>
      </w:hyperlink>
      <w:hyperlink r:id="rId121">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This interval applies to both primary HPV testing and co-testing (HPV plus cytology) when the results are negative</w:t>
      </w:r>
      <w:hyperlink r:id="rId122">
        <w:r w:rsidDel="00000000" w:rsidR="00000000" w:rsidRPr="00000000">
          <w:rPr>
            <w:color w:val="232323"/>
            <w:sz w:val="24"/>
            <w:szCs w:val="24"/>
            <w:rtl w:val="0"/>
          </w:rPr>
          <w:t xml:space="preserve"> </w:t>
        </w:r>
      </w:hyperlink>
      <w:hyperlink r:id="rId123">
        <w:r w:rsidDel="00000000" w:rsidR="00000000" w:rsidRPr="00000000">
          <w:rPr>
            <w:color w:val="1155cc"/>
            <w:sz w:val="24"/>
            <w:szCs w:val="24"/>
            <w:rtl w:val="0"/>
          </w:rPr>
          <w:t xml:space="preserve">[1]</w:t>
        </w:r>
      </w:hyperlink>
      <w:hyperlink r:id="rId12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This approach is supported by expert guidance and is consistent with recommendations from major organizations in resource-abundant settings</w:t>
      </w:r>
      <w:hyperlink r:id="rId125">
        <w:r w:rsidDel="00000000" w:rsidR="00000000" w:rsidRPr="00000000">
          <w:rPr>
            <w:color w:val="232323"/>
            <w:sz w:val="24"/>
            <w:szCs w:val="24"/>
            <w:rtl w:val="0"/>
          </w:rPr>
          <w:t xml:space="preserve"> </w:t>
        </w:r>
      </w:hyperlink>
      <w:hyperlink r:id="rId126">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B">
      <w:pPr>
        <w:spacing w:line="390" w:lineRule="auto"/>
        <w:rPr>
          <w:color w:val="232323"/>
          <w:sz w:val="24"/>
          <w:szCs w:val="24"/>
        </w:rPr>
      </w:pPr>
      <w:r w:rsidDel="00000000" w:rsidR="00000000" w:rsidRPr="00000000">
        <w:rPr>
          <w:color w:val="232323"/>
          <w:sz w:val="24"/>
          <w:szCs w:val="24"/>
          <w:rtl w:val="0"/>
        </w:rPr>
        <w:t xml:space="preserve">In resource-limited settings, HPV testing is typically repeated every five to ten years, depending on local protocols and available resources</w:t>
      </w:r>
      <w:hyperlink r:id="rId127">
        <w:r w:rsidDel="00000000" w:rsidR="00000000" w:rsidRPr="00000000">
          <w:rPr>
            <w:color w:val="232323"/>
            <w:sz w:val="24"/>
            <w:szCs w:val="24"/>
            <w:rtl w:val="0"/>
          </w:rPr>
          <w:t xml:space="preserve"> </w:t>
        </w:r>
      </w:hyperlink>
      <w:hyperlink r:id="rId12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C">
      <w:pPr>
        <w:spacing w:line="390" w:lineRule="auto"/>
        <w:rPr>
          <w:color w:val="232323"/>
          <w:sz w:val="24"/>
          <w:szCs w:val="24"/>
        </w:rPr>
      </w:pPr>
      <w:r w:rsidDel="00000000" w:rsidR="00000000" w:rsidRPr="00000000">
        <w:rPr>
          <w:rtl w:val="0"/>
        </w:rPr>
      </w:r>
    </w:p>
    <w:p w:rsidR="00000000" w:rsidDel="00000000" w:rsidP="00000000" w:rsidRDefault="00000000" w:rsidRPr="00000000" w14:paraId="0000006D">
      <w:pPr>
        <w:spacing w:line="390" w:lineRule="auto"/>
        <w:rPr>
          <w:color w:val="232323"/>
          <w:sz w:val="24"/>
          <w:szCs w:val="24"/>
        </w:rPr>
      </w:pPr>
      <w:r w:rsidDel="00000000" w:rsidR="00000000" w:rsidRPr="00000000">
        <w:rPr>
          <w:color w:val="232323"/>
          <w:sz w:val="24"/>
          <w:szCs w:val="24"/>
          <w:rtl w:val="0"/>
        </w:rPr>
        <w:t xml:space="preserve">For patients who undergo HPV self-collection and have a negative result, the suggested screening interval is every three years</w:t>
      </w:r>
      <w:hyperlink r:id="rId129">
        <w:r w:rsidDel="00000000" w:rsidR="00000000" w:rsidRPr="00000000">
          <w:rPr>
            <w:color w:val="232323"/>
            <w:sz w:val="24"/>
            <w:szCs w:val="24"/>
            <w:rtl w:val="0"/>
          </w:rPr>
          <w:t xml:space="preserve"> </w:t>
        </w:r>
      </w:hyperlink>
      <w:hyperlink r:id="rId130">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E">
      <w:pPr>
        <w:spacing w:line="390" w:lineRule="auto"/>
        <w:rPr>
          <w:color w:val="232323"/>
          <w:sz w:val="24"/>
          <w:szCs w:val="24"/>
        </w:rPr>
      </w:pPr>
      <w:r w:rsidDel="00000000" w:rsidR="00000000" w:rsidRPr="00000000">
        <w:rPr>
          <w:rtl w:val="0"/>
        </w:rPr>
      </w:r>
    </w:p>
    <w:p w:rsidR="00000000" w:rsidDel="00000000" w:rsidP="00000000" w:rsidRDefault="00000000" w:rsidRPr="00000000" w14:paraId="0000006F">
      <w:pPr>
        <w:spacing w:line="390" w:lineRule="auto"/>
        <w:rPr>
          <w:color w:val="232323"/>
          <w:sz w:val="24"/>
          <w:szCs w:val="24"/>
        </w:rPr>
      </w:pPr>
      <w:r w:rsidDel="00000000" w:rsidR="00000000" w:rsidRPr="00000000">
        <w:rPr>
          <w:color w:val="232323"/>
          <w:sz w:val="24"/>
          <w:szCs w:val="24"/>
          <w:rtl w:val="0"/>
        </w:rPr>
        <w:t xml:space="preserve">If the patient is immunocompromised or has HIV, more frequent screening may be indicated, and recommendations differ for these populations</w:t>
      </w:r>
      <w:hyperlink r:id="rId131">
        <w:r w:rsidDel="00000000" w:rsidR="00000000" w:rsidRPr="00000000">
          <w:rPr>
            <w:color w:val="232323"/>
            <w:sz w:val="24"/>
            <w:szCs w:val="24"/>
            <w:rtl w:val="0"/>
          </w:rPr>
          <w:t xml:space="preserve"> </w:t>
        </w:r>
      </w:hyperlink>
      <w:hyperlink r:id="rId13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0">
      <w:pPr>
        <w:spacing w:line="390" w:lineRule="auto"/>
        <w:rPr>
          <w:color w:val="232323"/>
          <w:sz w:val="24"/>
          <w:szCs w:val="24"/>
        </w:rPr>
      </w:pPr>
      <w:r w:rsidDel="00000000" w:rsidR="00000000" w:rsidRPr="00000000">
        <w:rPr>
          <w:color w:val="232323"/>
          <w:sz w:val="24"/>
          <w:szCs w:val="24"/>
          <w:rtl w:val="0"/>
        </w:rPr>
        <w:t xml:space="preserve">For patients under age 25, HPV testing is generally not recommended, and management strategies differ</w:t>
      </w:r>
      <w:hyperlink r:id="rId133">
        <w:r w:rsidDel="00000000" w:rsidR="00000000" w:rsidRPr="00000000">
          <w:rPr>
            <w:color w:val="232323"/>
            <w:sz w:val="24"/>
            <w:szCs w:val="24"/>
            <w:rtl w:val="0"/>
          </w:rPr>
          <w:t xml:space="preserve"> </w:t>
        </w:r>
      </w:hyperlink>
      <w:hyperlink r:id="rId134">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1">
      <w:pPr>
        <w:pStyle w:val="Heading3"/>
        <w:keepNext w:val="0"/>
        <w:keepLines w:val="0"/>
        <w:spacing w:after="40" w:before="460" w:line="346.66666666666663" w:lineRule="auto"/>
        <w:rPr>
          <w:b w:val="1"/>
          <w:bCs w:val="1"/>
          <w:color w:val="232323"/>
          <w:sz w:val="27"/>
          <w:szCs w:val="27"/>
        </w:rPr>
      </w:pPr>
      <w:bookmarkStart w:colFirst="0" w:colLast="0" w:name="_z5jpkvwy9jz9"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72">
      <w:pPr>
        <w:numPr>
          <w:ilvl w:val="0"/>
          <w:numId w:val="13"/>
        </w:numPr>
        <w:spacing w:after="0" w:afterAutospacing="0" w:before="220" w:line="390" w:lineRule="auto"/>
        <w:ind w:left="720" w:hanging="360"/>
        <w:rPr>
          <w:sz w:val="24"/>
          <w:szCs w:val="24"/>
        </w:rPr>
      </w:pPr>
      <w:r w:rsidDel="00000000" w:rsidR="00000000" w:rsidRPr="00000000">
        <w:rPr>
          <w:color w:val="232323"/>
          <w:sz w:val="24"/>
          <w:szCs w:val="24"/>
          <w:rtl w:val="0"/>
        </w:rPr>
        <w:t xml:space="preserve">After a negative HPV test in an average-risk adult, repeat screening is recommended in five years </w:t>
      </w:r>
      <w:hyperlink r:id="rId135">
        <w:r w:rsidDel="00000000" w:rsidR="00000000" w:rsidRPr="00000000">
          <w:rPr>
            <w:color w:val="1155cc"/>
            <w:sz w:val="24"/>
            <w:szCs w:val="24"/>
            <w:rtl w:val="0"/>
          </w:rPr>
          <w:t xml:space="preserve">[1]</w:t>
        </w:r>
      </w:hyperlink>
      <w:hyperlink r:id="rId136">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 resource-limited settings, the interval may be five to ten years depending on resources </w:t>
      </w:r>
      <w:hyperlink r:id="rId13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13"/>
        </w:numPr>
        <w:spacing w:after="240" w:before="0" w:beforeAutospacing="0" w:line="390" w:lineRule="auto"/>
        <w:ind w:left="720" w:hanging="360"/>
        <w:rPr>
          <w:sz w:val="24"/>
          <w:szCs w:val="24"/>
        </w:rPr>
      </w:pPr>
      <w:r w:rsidDel="00000000" w:rsidR="00000000" w:rsidRPr="00000000">
        <w:rPr>
          <w:color w:val="232323"/>
          <w:sz w:val="24"/>
          <w:szCs w:val="24"/>
          <w:rtl w:val="0"/>
        </w:rPr>
        <w:t xml:space="preserve">HPV self-collection with a negative result may be repeated every three years </w:t>
      </w:r>
      <w:hyperlink r:id="rId138">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5">
      <w:pPr>
        <w:pStyle w:val="Heading3"/>
        <w:keepNext w:val="0"/>
        <w:keepLines w:val="0"/>
        <w:spacing w:after="40" w:before="460" w:line="346.66666666666663" w:lineRule="auto"/>
        <w:rPr>
          <w:b w:val="1"/>
          <w:bCs w:val="1"/>
          <w:color w:val="232323"/>
          <w:sz w:val="27"/>
          <w:szCs w:val="27"/>
        </w:rPr>
      </w:pPr>
      <w:bookmarkStart w:colFirst="0" w:colLast="0" w:name="_d6k628bvr5z4"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76">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7">
      <w:pPr>
        <w:numPr>
          <w:ilvl w:val="0"/>
          <w:numId w:val="7"/>
        </w:numPr>
        <w:spacing w:after="0" w:afterAutospacing="0" w:before="220" w:line="390" w:lineRule="auto"/>
        <w:ind w:left="720" w:hanging="360"/>
      </w:pPr>
      <w:hyperlink r:id="rId139">
        <w:r w:rsidDel="00000000" w:rsidR="00000000" w:rsidRPr="00000000">
          <w:rPr>
            <w:color w:val="1155cc"/>
            <w:sz w:val="24"/>
            <w:szCs w:val="24"/>
            <w:rtl w:val="0"/>
          </w:rPr>
          <w:t xml:space="preserve">What is the recommended interval after a negative co-test (HPV and cytology)?</w:t>
        </w:r>
      </w:hyperlink>
      <w:r w:rsidDel="00000000" w:rsidR="00000000" w:rsidRPr="00000000">
        <w:rPr>
          <w:rtl w:val="0"/>
        </w:rPr>
      </w:r>
    </w:p>
    <w:p w:rsidR="00000000" w:rsidDel="00000000" w:rsidP="00000000" w:rsidRDefault="00000000" w:rsidRPr="00000000" w14:paraId="00000078">
      <w:pPr>
        <w:numPr>
          <w:ilvl w:val="0"/>
          <w:numId w:val="7"/>
        </w:numPr>
        <w:spacing w:after="0" w:afterAutospacing="0" w:before="0" w:beforeAutospacing="0" w:line="390" w:lineRule="auto"/>
        <w:ind w:left="720" w:hanging="360"/>
      </w:pPr>
      <w:hyperlink r:id="rId140">
        <w:r w:rsidDel="00000000" w:rsidR="00000000" w:rsidRPr="00000000">
          <w:rPr>
            <w:color w:val="1155cc"/>
            <w:sz w:val="24"/>
            <w:szCs w:val="24"/>
            <w:rtl w:val="0"/>
          </w:rPr>
          <w:t xml:space="preserve">How does screening interval change for patients with HIV or other immunocompromised states?</w:t>
        </w:r>
      </w:hyperlink>
      <w:r w:rsidDel="00000000" w:rsidR="00000000" w:rsidRPr="00000000">
        <w:rPr>
          <w:rtl w:val="0"/>
        </w:rPr>
      </w:r>
    </w:p>
    <w:p w:rsidR="00000000" w:rsidDel="00000000" w:rsidP="00000000" w:rsidRDefault="00000000" w:rsidRPr="00000000" w14:paraId="00000079">
      <w:pPr>
        <w:numPr>
          <w:ilvl w:val="0"/>
          <w:numId w:val="7"/>
        </w:numPr>
        <w:spacing w:after="0" w:afterAutospacing="0" w:before="0" w:beforeAutospacing="0" w:line="390" w:lineRule="auto"/>
        <w:ind w:left="720" w:hanging="360"/>
      </w:pPr>
      <w:hyperlink r:id="rId141">
        <w:r w:rsidDel="00000000" w:rsidR="00000000" w:rsidRPr="00000000">
          <w:rPr>
            <w:color w:val="1155cc"/>
            <w:sz w:val="24"/>
            <w:szCs w:val="24"/>
            <w:rtl w:val="0"/>
          </w:rPr>
          <w:t xml:space="preserve">What is the follow-up for abnormal HPV or cytology results?</w:t>
        </w:r>
      </w:hyperlink>
      <w:r w:rsidDel="00000000" w:rsidR="00000000" w:rsidRPr="00000000">
        <w:rPr>
          <w:rtl w:val="0"/>
        </w:rPr>
      </w:r>
    </w:p>
    <w:p w:rsidR="00000000" w:rsidDel="00000000" w:rsidP="00000000" w:rsidRDefault="00000000" w:rsidRPr="00000000" w14:paraId="0000007A">
      <w:pPr>
        <w:numPr>
          <w:ilvl w:val="0"/>
          <w:numId w:val="7"/>
        </w:numPr>
        <w:spacing w:after="0" w:afterAutospacing="0" w:before="0" w:beforeAutospacing="0" w:line="390" w:lineRule="auto"/>
        <w:ind w:left="720" w:hanging="360"/>
      </w:pPr>
      <w:hyperlink r:id="rId142">
        <w:r w:rsidDel="00000000" w:rsidR="00000000" w:rsidRPr="00000000">
          <w:rPr>
            <w:color w:val="1155cc"/>
            <w:sz w:val="24"/>
            <w:szCs w:val="24"/>
            <w:rtl w:val="0"/>
          </w:rPr>
          <w:t xml:space="preserve">How does HPV vaccination status affect screening intervals?</w:t>
        </w:r>
      </w:hyperlink>
      <w:r w:rsidDel="00000000" w:rsidR="00000000" w:rsidRPr="00000000">
        <w:rPr>
          <w:rtl w:val="0"/>
        </w:rPr>
      </w:r>
    </w:p>
    <w:p w:rsidR="00000000" w:rsidDel="00000000" w:rsidP="00000000" w:rsidRDefault="00000000" w:rsidRPr="00000000" w14:paraId="0000007B">
      <w:pPr>
        <w:numPr>
          <w:ilvl w:val="0"/>
          <w:numId w:val="7"/>
        </w:numPr>
        <w:spacing w:after="0" w:afterAutospacing="0" w:before="0" w:beforeAutospacing="0" w:line="390" w:lineRule="auto"/>
        <w:ind w:left="720" w:hanging="360"/>
      </w:pPr>
      <w:hyperlink r:id="rId143">
        <w:r w:rsidDel="00000000" w:rsidR="00000000" w:rsidRPr="00000000">
          <w:rPr>
            <w:color w:val="1155cc"/>
            <w:sz w:val="24"/>
            <w:szCs w:val="24"/>
            <w:rtl w:val="0"/>
          </w:rPr>
          <w:t xml:space="preserve">What are the recommendations for patients under age 25?</w:t>
        </w:r>
      </w:hyperlink>
      <w:r w:rsidDel="00000000" w:rsidR="00000000" w:rsidRPr="00000000">
        <w:rPr>
          <w:rtl w:val="0"/>
        </w:rPr>
      </w:r>
    </w:p>
    <w:p w:rsidR="00000000" w:rsidDel="00000000" w:rsidP="00000000" w:rsidRDefault="00000000" w:rsidRPr="00000000" w14:paraId="0000007C">
      <w:pPr>
        <w:numPr>
          <w:ilvl w:val="0"/>
          <w:numId w:val="7"/>
        </w:numPr>
        <w:spacing w:after="240" w:before="0" w:beforeAutospacing="0" w:line="390" w:lineRule="auto"/>
        <w:ind w:left="720" w:hanging="360"/>
      </w:pPr>
      <w:hyperlink r:id="rId144">
        <w:r w:rsidDel="00000000" w:rsidR="00000000" w:rsidRPr="00000000">
          <w:rPr>
            <w:color w:val="1155cc"/>
            <w:sz w:val="24"/>
            <w:szCs w:val="24"/>
            <w:rtl w:val="0"/>
          </w:rPr>
          <w:t xml:space="preserve">What is the recommended interval for HPV self-collection?</w:t>
        </w:r>
      </w:hyperlink>
      <w:r w:rsidDel="00000000" w:rsidR="00000000" w:rsidRPr="00000000">
        <w:rPr>
          <w:rtl w:val="0"/>
        </w:rPr>
      </w:r>
    </w:p>
    <w:p w:rsidR="00000000" w:rsidDel="00000000" w:rsidP="00000000" w:rsidRDefault="00000000" w:rsidRPr="00000000" w14:paraId="0000007D">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screening intervals in special populations.</w:t>
      </w:r>
    </w:p>
    <w:p w:rsidR="00000000" w:rsidDel="00000000" w:rsidP="00000000" w:rsidRDefault="00000000" w:rsidRPr="00000000" w14:paraId="0000007E">
      <w:pPr>
        <w:pStyle w:val="Heading3"/>
        <w:keepNext w:val="0"/>
        <w:keepLines w:val="0"/>
        <w:spacing w:after="40" w:before="460" w:line="346.66666666666663" w:lineRule="auto"/>
        <w:rPr>
          <w:b w:val="1"/>
          <w:bCs w:val="1"/>
          <w:color w:val="232323"/>
          <w:sz w:val="27"/>
          <w:szCs w:val="27"/>
        </w:rPr>
      </w:pPr>
      <w:bookmarkStart w:colFirst="0" w:colLast="0" w:name="_luhcclmtmcfk"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F">
      <w:pPr>
        <w:numPr>
          <w:ilvl w:val="0"/>
          <w:numId w:val="4"/>
        </w:numPr>
        <w:spacing w:after="0" w:afterAutospacing="0" w:before="240" w:lineRule="auto"/>
        <w:ind w:left="720" w:hanging="360"/>
      </w:pPr>
      <w:hyperlink r:id="rId145">
        <w:r w:rsidDel="00000000" w:rsidR="00000000" w:rsidRPr="00000000">
          <w:rPr>
            <w:color w:val="1155cc"/>
            <w:sz w:val="24"/>
            <w:szCs w:val="24"/>
            <w:rtl w:val="0"/>
          </w:rPr>
          <w:t xml:space="preserve">Cervical cancer screening: Benefits, harms, screening methods, and patient risk groups &gt; SCREENING METHODS &gt; Types of screening and frequency</w:t>
        </w:r>
      </w:hyperlink>
      <w:r w:rsidDel="00000000" w:rsidR="00000000" w:rsidRPr="00000000">
        <w:rPr>
          <w:rtl w:val="0"/>
        </w:rPr>
      </w:r>
    </w:p>
    <w:p w:rsidR="00000000" w:rsidDel="00000000" w:rsidP="00000000" w:rsidRDefault="00000000" w:rsidRPr="00000000" w14:paraId="00000080">
      <w:pPr>
        <w:numPr>
          <w:ilvl w:val="0"/>
          <w:numId w:val="4"/>
        </w:numPr>
        <w:spacing w:after="0" w:afterAutospacing="0" w:before="0" w:beforeAutospacing="0" w:lineRule="auto"/>
        <w:ind w:left="720" w:hanging="360"/>
      </w:pPr>
      <w:hyperlink r:id="rId146">
        <w:r w:rsidDel="00000000" w:rsidR="00000000" w:rsidRPr="00000000">
          <w:rPr>
            <w:color w:val="1155cc"/>
            <w:sz w:val="24"/>
            <w:szCs w:val="24"/>
            <w:rtl w:val="0"/>
          </w:rPr>
          <w:t xml:space="preserve">Cervical cancer screening in resource-abundant settings: How to screen average-risk patients &gt; HOW TO SCREEN &gt; Testing method and frequency &gt; Choice of test</w:t>
        </w:r>
      </w:hyperlink>
      <w:r w:rsidDel="00000000" w:rsidR="00000000" w:rsidRPr="00000000">
        <w:rPr>
          <w:rtl w:val="0"/>
        </w:rPr>
      </w:r>
    </w:p>
    <w:p w:rsidR="00000000" w:rsidDel="00000000" w:rsidP="00000000" w:rsidRDefault="00000000" w:rsidRPr="00000000" w14:paraId="00000081">
      <w:pPr>
        <w:numPr>
          <w:ilvl w:val="0"/>
          <w:numId w:val="4"/>
        </w:numPr>
        <w:spacing w:after="0" w:afterAutospacing="0" w:before="0" w:beforeAutospacing="0" w:lineRule="auto"/>
        <w:ind w:left="720" w:hanging="360"/>
      </w:pPr>
      <w:hyperlink r:id="rId147">
        <w:r w:rsidDel="00000000" w:rsidR="00000000" w:rsidRPr="00000000">
          <w:rPr>
            <w:color w:val="1155cc"/>
            <w:sz w:val="24"/>
            <w:szCs w:val="24"/>
            <w:rtl w:val="0"/>
          </w:rPr>
          <w:t xml:space="preserve">Screening for cervical cancer in resource-limited settings &gt; SCREEN-AND-TREAT PROTOCOLS &gt; Preferred: HPV testing</w:t>
        </w:r>
      </w:hyperlink>
      <w:r w:rsidDel="00000000" w:rsidR="00000000" w:rsidRPr="00000000">
        <w:rPr>
          <w:rtl w:val="0"/>
        </w:rPr>
      </w:r>
    </w:p>
    <w:p w:rsidR="00000000" w:rsidDel="00000000" w:rsidP="00000000" w:rsidRDefault="00000000" w:rsidRPr="00000000" w14:paraId="00000082">
      <w:pPr>
        <w:numPr>
          <w:ilvl w:val="0"/>
          <w:numId w:val="4"/>
        </w:numPr>
        <w:spacing w:after="0" w:afterAutospacing="0" w:before="0" w:beforeAutospacing="0" w:lineRule="auto"/>
        <w:ind w:left="720" w:hanging="360"/>
      </w:pPr>
      <w:hyperlink r:id="rId148">
        <w:r w:rsidDel="00000000" w:rsidR="00000000" w:rsidRPr="00000000">
          <w:rPr>
            <w:color w:val="1155cc"/>
            <w:sz w:val="24"/>
            <w:szCs w:val="24"/>
            <w:rtl w:val="0"/>
          </w:rPr>
          <w:t xml:space="preserve">Screening for cervical cancer in patients with HIV infection and other immunocompromised states &gt; OUR APPROACH TO SCREENING &gt; Subsequent screening</w:t>
        </w:r>
      </w:hyperlink>
      <w:r w:rsidDel="00000000" w:rsidR="00000000" w:rsidRPr="00000000">
        <w:rPr>
          <w:rtl w:val="0"/>
        </w:rPr>
      </w:r>
    </w:p>
    <w:p w:rsidR="00000000" w:rsidDel="00000000" w:rsidP="00000000" w:rsidRDefault="00000000" w:rsidRPr="00000000" w14:paraId="00000083">
      <w:pPr>
        <w:numPr>
          <w:ilvl w:val="0"/>
          <w:numId w:val="4"/>
        </w:numPr>
        <w:spacing w:after="240" w:before="0" w:beforeAutospacing="0" w:lineRule="auto"/>
        <w:ind w:left="720" w:hanging="360"/>
      </w:pPr>
      <w:hyperlink r:id="rId149">
        <w:r w:rsidDel="00000000" w:rsidR="00000000" w:rsidRPr="00000000">
          <w:rPr>
            <w:color w:val="1155cc"/>
            <w:sz w:val="24"/>
            <w:szCs w:val="24"/>
            <w:rtl w:val="0"/>
          </w:rPr>
          <w:t xml:space="preserve">Cervical cancer screening: Risk assessment, evaluation, and management after screening &gt; MANAGEMENT OF PATIENTS &lt;25 YEARS</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5421#H4214831466" TargetMode="External"/><Relationship Id="rId42" Type="http://schemas.openxmlformats.org/officeDocument/2006/relationships/hyperlink" Target="https://www.uptodate.com/contents/7395#H172086724" TargetMode="External"/><Relationship Id="rId41" Type="http://schemas.openxmlformats.org/officeDocument/2006/relationships/hyperlink" Target="https://www.uptodate.com/contents/5421#H1828935435" TargetMode="External"/><Relationship Id="rId44" Type="http://schemas.openxmlformats.org/officeDocument/2006/relationships/hyperlink" Target="https://www.uptodate.com/contents/7395#H36" TargetMode="External"/><Relationship Id="rId43" Type="http://schemas.openxmlformats.org/officeDocument/2006/relationships/hyperlink" Target="https://www.uptodate.com/contents/7395#H172092809" TargetMode="External"/><Relationship Id="rId46" Type="http://schemas.openxmlformats.org/officeDocument/2006/relationships/hyperlink" Target="https://www.uptodate.com/contents/7395#H172086754" TargetMode="External"/><Relationship Id="rId45" Type="http://schemas.openxmlformats.org/officeDocument/2006/relationships/hyperlink" Target="https://www.uptodate.com/contents/7395#H36" TargetMode="External"/><Relationship Id="rId107" Type="http://schemas.openxmlformats.org/officeDocument/2006/relationships/hyperlink" Target="https://www.uptodate.com/contents/1784#H2435699" TargetMode="External"/><Relationship Id="rId106" Type="http://schemas.openxmlformats.org/officeDocument/2006/relationships/hyperlink" Target="https://www.uptodate.com/contents/1784#H23"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3829#H680094009" TargetMode="External"/><Relationship Id="rId108" Type="http://schemas.openxmlformats.org/officeDocument/2006/relationships/hyperlink" Target="https://www.uptodate.com/contents/3869#H933015733" TargetMode="External"/><Relationship Id="rId48" Type="http://schemas.openxmlformats.org/officeDocument/2006/relationships/hyperlink" Target="https://www.uptodate.com/contents/image?imageKey=82324&amp;source=expert-ai&amp;graphic-type=figure" TargetMode="External"/><Relationship Id="rId47" Type="http://schemas.openxmlformats.org/officeDocument/2006/relationships/hyperlink" Target="https://www.uptodate.com/contents/image?imageKey=131983&amp;source=expert-ai&amp;graphic-type=algorithm" TargetMode="External"/><Relationship Id="rId49" Type="http://schemas.openxmlformats.org/officeDocument/2006/relationships/hyperlink" Target="https://ai.uptodate.com/" TargetMode="External"/><Relationship Id="rId103" Type="http://schemas.openxmlformats.org/officeDocument/2006/relationships/hyperlink" Target="https://ai.uptodate.com/" TargetMode="External"/><Relationship Id="rId102" Type="http://schemas.openxmlformats.org/officeDocument/2006/relationships/hyperlink" Target="https://ai.uptodate.com/" TargetMode="External"/><Relationship Id="rId101" Type="http://schemas.openxmlformats.org/officeDocument/2006/relationships/hyperlink" Target="https://ai.uptodate.com/" TargetMode="External"/><Relationship Id="rId100" Type="http://schemas.openxmlformats.org/officeDocument/2006/relationships/hyperlink" Target="https://www.uptodate.com/contents/3863#H19"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ai.uptodate.com/" TargetMode="External"/><Relationship Id="rId32" Type="http://schemas.openxmlformats.org/officeDocument/2006/relationships/hyperlink" Target="https://ai.uptodate.com/" TargetMode="External"/><Relationship Id="rId35" Type="http://schemas.openxmlformats.org/officeDocument/2006/relationships/hyperlink" Target="https://www.uptodate.com/contents/5421#H21" TargetMode="External"/><Relationship Id="rId34" Type="http://schemas.openxmlformats.org/officeDocument/2006/relationships/hyperlink" Target="https://www.uptodate.com/contents/3232#H2796780088" TargetMode="External"/><Relationship Id="rId37" Type="http://schemas.openxmlformats.org/officeDocument/2006/relationships/hyperlink" Target="https://www.uptodate.com/contents/5421#H18" TargetMode="External"/><Relationship Id="rId36" Type="http://schemas.openxmlformats.org/officeDocument/2006/relationships/hyperlink" Target="https://www.uptodate.com/contents/3232#H16" TargetMode="External"/><Relationship Id="rId39" Type="http://schemas.openxmlformats.org/officeDocument/2006/relationships/hyperlink" Target="https://www.uptodate.com/contents/5421#H3" TargetMode="External"/><Relationship Id="rId38" Type="http://schemas.openxmlformats.org/officeDocument/2006/relationships/hyperlink" Target="https://www.uptodate.com/contents/3263#H3146922049" TargetMode="External"/><Relationship Id="rId20" Type="http://schemas.openxmlformats.org/officeDocument/2006/relationships/hyperlink" Target="https://www.uptodate.com/contents/3232#H2796780088" TargetMode="External"/><Relationship Id="rId22" Type="http://schemas.openxmlformats.org/officeDocument/2006/relationships/hyperlink" Target="https://www.uptodate.com/contents/3263#H3146922049" TargetMode="External"/><Relationship Id="rId21" Type="http://schemas.openxmlformats.org/officeDocument/2006/relationships/hyperlink" Target="https://www.uptodate.com/contents/5421#H21" TargetMode="External"/><Relationship Id="rId24" Type="http://schemas.openxmlformats.org/officeDocument/2006/relationships/hyperlink" Target="https://www.uptodate.com/contents/5421#H4214831466" TargetMode="External"/><Relationship Id="rId23" Type="http://schemas.openxmlformats.org/officeDocument/2006/relationships/hyperlink" Target="https://www.uptodate.com/contents/5421#H3" TargetMode="External"/><Relationship Id="rId129" Type="http://schemas.openxmlformats.org/officeDocument/2006/relationships/hyperlink" Target="https://www.uptodate.com/contents/144992#H3450958684" TargetMode="External"/><Relationship Id="rId128" Type="http://schemas.openxmlformats.org/officeDocument/2006/relationships/hyperlink" Target="https://www.uptodate.com/contents/3202#H1350363952" TargetMode="External"/><Relationship Id="rId127" Type="http://schemas.openxmlformats.org/officeDocument/2006/relationships/hyperlink" Target="https://www.uptodate.com/contents/3202#H1350363952" TargetMode="External"/><Relationship Id="rId126" Type="http://schemas.openxmlformats.org/officeDocument/2006/relationships/hyperlink" Target="https://www.uptodate.com/contents/144362#H1495995920" TargetMode="External"/><Relationship Id="rId26" Type="http://schemas.openxmlformats.org/officeDocument/2006/relationships/hyperlink" Target="https://www.uptodate.com/contents/5421#H4214831466" TargetMode="External"/><Relationship Id="rId121" Type="http://schemas.openxmlformats.org/officeDocument/2006/relationships/hyperlink" Target="https://www.uptodate.com/contents/144362#H1495995920" TargetMode="External"/><Relationship Id="rId25" Type="http://schemas.openxmlformats.org/officeDocument/2006/relationships/hyperlink" Target="https://www.uptodate.com/contents/5421#H21" TargetMode="External"/><Relationship Id="rId120" Type="http://schemas.openxmlformats.org/officeDocument/2006/relationships/hyperlink" Target="https://www.uptodate.com/contents/144992#H3450958684" TargetMode="External"/><Relationship Id="rId28" Type="http://schemas.openxmlformats.org/officeDocument/2006/relationships/hyperlink" Target="https://www.uptodate.com/contents/5421#H21" TargetMode="External"/><Relationship Id="rId27" Type="http://schemas.openxmlformats.org/officeDocument/2006/relationships/hyperlink" Target="https://www.uptodate.com/contents/5421#H1828935435" TargetMode="External"/><Relationship Id="rId125" Type="http://schemas.openxmlformats.org/officeDocument/2006/relationships/hyperlink" Target="https://www.uptodate.com/contents/144362#H1495995920" TargetMode="External"/><Relationship Id="rId29" Type="http://schemas.openxmlformats.org/officeDocument/2006/relationships/hyperlink" Target="https://ai.uptodate.com/" TargetMode="External"/><Relationship Id="rId124" Type="http://schemas.openxmlformats.org/officeDocument/2006/relationships/hyperlink" Target="https://www.uptodate.com/contents/144362#H1495995920" TargetMode="External"/><Relationship Id="rId123" Type="http://schemas.openxmlformats.org/officeDocument/2006/relationships/hyperlink" Target="https://www.uptodate.com/contents/144992#H3450958684" TargetMode="External"/><Relationship Id="rId122" Type="http://schemas.openxmlformats.org/officeDocument/2006/relationships/hyperlink" Target="https://www.uptodate.com/contents/144992#H3450958684" TargetMode="External"/><Relationship Id="rId95" Type="http://schemas.openxmlformats.org/officeDocument/2006/relationships/hyperlink" Target="https://www.uptodate.com/contents/image?imageKey=148107&amp;source=expert-ai&amp;graphic-type=algorithm" TargetMode="External"/><Relationship Id="rId94" Type="http://schemas.openxmlformats.org/officeDocument/2006/relationships/hyperlink" Target="https://www.uptodate.com/contents/1784#H2435699" TargetMode="External"/><Relationship Id="rId97" Type="http://schemas.openxmlformats.org/officeDocument/2006/relationships/hyperlink" Target="https://www.uptodate.com/contents/3863#H19" TargetMode="External"/><Relationship Id="rId96" Type="http://schemas.openxmlformats.org/officeDocument/2006/relationships/hyperlink" Target="https://www.uptodate.com/contents/3869#H933015733" TargetMode="External"/><Relationship Id="rId11" Type="http://schemas.openxmlformats.org/officeDocument/2006/relationships/hyperlink" Target="https://www.uptodate.com/contents/image?imageKey=135035&amp;source=expert-ai&amp;graphic-type=image" TargetMode="External"/><Relationship Id="rId99" Type="http://schemas.openxmlformats.org/officeDocument/2006/relationships/hyperlink" Target="https://www.uptodate.com/contents/3869#H933015733" TargetMode="External"/><Relationship Id="rId10" Type="http://schemas.openxmlformats.org/officeDocument/2006/relationships/hyperlink" Target="https://www.uptodate.com/contents/5421#H21" TargetMode="External"/><Relationship Id="rId98" Type="http://schemas.openxmlformats.org/officeDocument/2006/relationships/hyperlink" Target="https://www.uptodate.com/contents/image?imageKey=63628&amp;source=expert-ai&amp;graphic-type=table" TargetMode="External"/><Relationship Id="rId13" Type="http://schemas.openxmlformats.org/officeDocument/2006/relationships/hyperlink" Target="https://www.uptodate.com/contents/image?imageKey=147982&amp;source=expert-ai&amp;graphic-type=image" TargetMode="External"/><Relationship Id="rId12" Type="http://schemas.openxmlformats.org/officeDocument/2006/relationships/hyperlink" Target="https://www.uptodate.com/contents/3232#H2796780088" TargetMode="External"/><Relationship Id="rId91" Type="http://schemas.openxmlformats.org/officeDocument/2006/relationships/hyperlink" Target="https://www.uptodate.com/contents/1784#H17" TargetMode="External"/><Relationship Id="rId90" Type="http://schemas.openxmlformats.org/officeDocument/2006/relationships/hyperlink" Target="https://www.uptodate.com/contents/1784#H16" TargetMode="External"/><Relationship Id="rId93" Type="http://schemas.openxmlformats.org/officeDocument/2006/relationships/hyperlink" Target="https://www.uptodate.com/contents/1784#H23" TargetMode="External"/><Relationship Id="rId92" Type="http://schemas.openxmlformats.org/officeDocument/2006/relationships/hyperlink" Target="https://www.uptodate.com/contents/1784#H18" TargetMode="External"/><Relationship Id="rId118" Type="http://schemas.openxmlformats.org/officeDocument/2006/relationships/hyperlink" Target="https://www.uptodate.com/contents/1784#H18" TargetMode="External"/><Relationship Id="rId117" Type="http://schemas.openxmlformats.org/officeDocument/2006/relationships/hyperlink" Target="https://www.uptodate.com/contents/1784#H17" TargetMode="External"/><Relationship Id="rId116" Type="http://schemas.openxmlformats.org/officeDocument/2006/relationships/hyperlink" Target="https://www.uptodate.com/contents/1784#H16" TargetMode="External"/><Relationship Id="rId115" Type="http://schemas.openxmlformats.org/officeDocument/2006/relationships/hyperlink" Target="https://www.uptodate.com/contents/1784#H46498406" TargetMode="External"/><Relationship Id="rId119" Type="http://schemas.openxmlformats.org/officeDocument/2006/relationships/hyperlink" Target="https://www.uptodate.com/contents/144992#H3450958684" TargetMode="External"/><Relationship Id="rId15" Type="http://schemas.openxmlformats.org/officeDocument/2006/relationships/hyperlink" Target="https://www.uptodate.com/contents/5421#H18" TargetMode="External"/><Relationship Id="rId110" Type="http://schemas.openxmlformats.org/officeDocument/2006/relationships/hyperlink" Target="https://www.uptodate.com/contents/3829#H2431301808" TargetMode="External"/><Relationship Id="rId14" Type="http://schemas.openxmlformats.org/officeDocument/2006/relationships/hyperlink" Target="https://www.uptodate.com/contents/3232#H2796780088" TargetMode="External"/><Relationship Id="rId17" Type="http://schemas.openxmlformats.org/officeDocument/2006/relationships/hyperlink" Target="https://www.uptodate.com/contents/5421#H21" TargetMode="External"/><Relationship Id="rId16" Type="http://schemas.openxmlformats.org/officeDocument/2006/relationships/hyperlink" Target="https://www.uptodate.com/contents/3232#H2796780088" TargetMode="External"/><Relationship Id="rId19" Type="http://schemas.openxmlformats.org/officeDocument/2006/relationships/hyperlink" Target="https://www.uptodate.com/contents/5421#H18" TargetMode="External"/><Relationship Id="rId114" Type="http://schemas.openxmlformats.org/officeDocument/2006/relationships/hyperlink" Target="https://www.uptodate.com/contents/3869#H334121346" TargetMode="External"/><Relationship Id="rId18" Type="http://schemas.openxmlformats.org/officeDocument/2006/relationships/hyperlink" Target="https://www.uptodate.com/contents/3232#H16" TargetMode="External"/><Relationship Id="rId113" Type="http://schemas.openxmlformats.org/officeDocument/2006/relationships/hyperlink" Target="https://www.uptodate.com/contents/3852#H31" TargetMode="External"/><Relationship Id="rId112" Type="http://schemas.openxmlformats.org/officeDocument/2006/relationships/hyperlink" Target="https://www.uptodate.com/contents/3852#H30" TargetMode="External"/><Relationship Id="rId111" Type="http://schemas.openxmlformats.org/officeDocument/2006/relationships/hyperlink" Target="https://www.uptodate.com/contents/3863#H19" TargetMode="External"/><Relationship Id="rId84" Type="http://schemas.openxmlformats.org/officeDocument/2006/relationships/hyperlink" Target="https://www.uptodate.com/contents/3869#H933015733" TargetMode="External"/><Relationship Id="rId83" Type="http://schemas.openxmlformats.org/officeDocument/2006/relationships/hyperlink" Target="https://www.uptodate.com/contents/1784#H2435699" TargetMode="External"/><Relationship Id="rId86" Type="http://schemas.openxmlformats.org/officeDocument/2006/relationships/hyperlink" Target="https://www.uptodate.com/contents/1784#H2435699" TargetMode="External"/><Relationship Id="rId85" Type="http://schemas.openxmlformats.org/officeDocument/2006/relationships/hyperlink" Target="https://www.uptodate.com/contents/1784#H23" TargetMode="External"/><Relationship Id="rId88" Type="http://schemas.openxmlformats.org/officeDocument/2006/relationships/hyperlink" Target="https://www.uptodate.com/contents/3869#H334121346" TargetMode="External"/><Relationship Id="rId87" Type="http://schemas.openxmlformats.org/officeDocument/2006/relationships/hyperlink" Target="https://www.uptodate.com/contents/3852#H31" TargetMode="External"/><Relationship Id="rId89" Type="http://schemas.openxmlformats.org/officeDocument/2006/relationships/hyperlink" Target="https://www.uptodate.com/contents/1784#H46498406" TargetMode="External"/><Relationship Id="rId80" Type="http://schemas.openxmlformats.org/officeDocument/2006/relationships/hyperlink" Target="https://www.uptodate.com/contents/3852#H31" TargetMode="External"/><Relationship Id="rId82" Type="http://schemas.openxmlformats.org/officeDocument/2006/relationships/hyperlink" Target="https://www.uptodate.com/contents/1784#H23" TargetMode="External"/><Relationship Id="rId81" Type="http://schemas.openxmlformats.org/officeDocument/2006/relationships/hyperlink" Target="https://www.uptodate.com/contents/3869#H3341213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28059#H1274899288" TargetMode="External"/><Relationship Id="rId4" Type="http://schemas.openxmlformats.org/officeDocument/2006/relationships/numbering" Target="numbering.xml"/><Relationship Id="rId148" Type="http://schemas.openxmlformats.org/officeDocument/2006/relationships/hyperlink" Target="https://www.uptodate.com/contents/3220#H2678681070" TargetMode="External"/><Relationship Id="rId9" Type="http://schemas.openxmlformats.org/officeDocument/2006/relationships/hyperlink" Target="https://www.uptodate.com/contents/3232#H2796780088" TargetMode="External"/><Relationship Id="rId143" Type="http://schemas.openxmlformats.org/officeDocument/2006/relationships/hyperlink" Target="https://ai.uptodate.com/"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ai.uptodate.com/" TargetMode="External"/><Relationship Id="rId5" Type="http://schemas.openxmlformats.org/officeDocument/2006/relationships/styles" Target="styles.xml"/><Relationship Id="rId147" Type="http://schemas.openxmlformats.org/officeDocument/2006/relationships/hyperlink" Target="https://www.uptodate.com/contents/3202#H1350363952" TargetMode="External"/><Relationship Id="rId6" Type="http://schemas.openxmlformats.org/officeDocument/2006/relationships/hyperlink" Target="https://www.uptodate.com/contents/3232#H2796780088" TargetMode="External"/><Relationship Id="rId146" Type="http://schemas.openxmlformats.org/officeDocument/2006/relationships/hyperlink" Target="https://www.uptodate.com/contents/144362#H1495995920" TargetMode="External"/><Relationship Id="rId7" Type="http://schemas.openxmlformats.org/officeDocument/2006/relationships/hyperlink" Target="https://www.uptodate.com/contents/5421#H21" TargetMode="External"/><Relationship Id="rId145" Type="http://schemas.openxmlformats.org/officeDocument/2006/relationships/hyperlink" Target="https://www.uptodate.com/contents/144992#H3450958684" TargetMode="External"/><Relationship Id="rId8" Type="http://schemas.openxmlformats.org/officeDocument/2006/relationships/hyperlink" Target="https://www.uptodate.com/contents/3232#H16" TargetMode="External"/><Relationship Id="rId144" Type="http://schemas.openxmlformats.org/officeDocument/2006/relationships/hyperlink" Target="https://ai.uptodate.com/" TargetMode="External"/><Relationship Id="rId73" Type="http://schemas.openxmlformats.org/officeDocument/2006/relationships/hyperlink" Target="https://www.uptodate.com/contents/3869#H933015733" TargetMode="External"/><Relationship Id="rId72" Type="http://schemas.openxmlformats.org/officeDocument/2006/relationships/hyperlink" Target="https://www.uptodate.com/contents/1784#H2435699" TargetMode="External"/><Relationship Id="rId75" Type="http://schemas.openxmlformats.org/officeDocument/2006/relationships/hyperlink" Target="https://www.uptodate.com/contents/1784#H2435699" TargetMode="External"/><Relationship Id="rId74" Type="http://schemas.openxmlformats.org/officeDocument/2006/relationships/hyperlink" Target="https://www.uptodate.com/contents/1784#H23" TargetMode="External"/><Relationship Id="rId77" Type="http://schemas.openxmlformats.org/officeDocument/2006/relationships/hyperlink" Target="https://www.uptodate.com/contents/3852#H30" TargetMode="External"/><Relationship Id="rId76" Type="http://schemas.openxmlformats.org/officeDocument/2006/relationships/hyperlink" Target="https://www.uptodate.com/contents/3863#H19" TargetMode="External"/><Relationship Id="rId79" Type="http://schemas.openxmlformats.org/officeDocument/2006/relationships/hyperlink" Target="https://www.uptodate.com/contents/1784#H2435699" TargetMode="External"/><Relationship Id="rId78" Type="http://schemas.openxmlformats.org/officeDocument/2006/relationships/hyperlink" Target="https://www.uptodate.com/contents/1784#H23" TargetMode="External"/><Relationship Id="rId71" Type="http://schemas.openxmlformats.org/officeDocument/2006/relationships/hyperlink" Target="https://www.uptodate.com/contents/1784#H23" TargetMode="External"/><Relationship Id="rId70" Type="http://schemas.openxmlformats.org/officeDocument/2006/relationships/hyperlink" Target="https://uptodate.com/contents/8557" TargetMode="External"/><Relationship Id="rId139" Type="http://schemas.openxmlformats.org/officeDocument/2006/relationships/hyperlink" Target="https://ai.uptodate.com/" TargetMode="External"/><Relationship Id="rId138" Type="http://schemas.openxmlformats.org/officeDocument/2006/relationships/hyperlink" Target="https://www.uptodate.com/contents/144992#H3450958684" TargetMode="External"/><Relationship Id="rId137" Type="http://schemas.openxmlformats.org/officeDocument/2006/relationships/hyperlink" Target="https://www.uptodate.com/contents/3202#H1350363952" TargetMode="External"/><Relationship Id="rId132" Type="http://schemas.openxmlformats.org/officeDocument/2006/relationships/hyperlink" Target="https://www.uptodate.com/contents/3220#H2678681070" TargetMode="External"/><Relationship Id="rId131" Type="http://schemas.openxmlformats.org/officeDocument/2006/relationships/hyperlink" Target="https://www.uptodate.com/contents/3220#H2678681070" TargetMode="External"/><Relationship Id="rId130" Type="http://schemas.openxmlformats.org/officeDocument/2006/relationships/hyperlink" Target="https://www.uptodate.com/contents/144992#H3450958684" TargetMode="External"/><Relationship Id="rId136" Type="http://schemas.openxmlformats.org/officeDocument/2006/relationships/hyperlink" Target="https://www.uptodate.com/contents/144362#H1495995920" TargetMode="External"/><Relationship Id="rId135" Type="http://schemas.openxmlformats.org/officeDocument/2006/relationships/hyperlink" Target="https://www.uptodate.com/contents/144992#H3450958684" TargetMode="External"/><Relationship Id="rId134" Type="http://schemas.openxmlformats.org/officeDocument/2006/relationships/hyperlink" Target="https://www.uptodate.com/contents/128059#H1274899288" TargetMode="External"/><Relationship Id="rId133" Type="http://schemas.openxmlformats.org/officeDocument/2006/relationships/hyperlink" Target="https://www.uptodate.com/contents/128059#H1274899288" TargetMode="External"/><Relationship Id="rId62" Type="http://schemas.openxmlformats.org/officeDocument/2006/relationships/hyperlink" Target="https://www.uptodate.com/contents/3829#H680094009" TargetMode="External"/><Relationship Id="rId61" Type="http://schemas.openxmlformats.org/officeDocument/2006/relationships/hyperlink" Target="https://www.uptodate.com/contents/1784#H23" TargetMode="External"/><Relationship Id="rId64" Type="http://schemas.openxmlformats.org/officeDocument/2006/relationships/hyperlink" Target="https://uptodate.com/contents/8627" TargetMode="External"/><Relationship Id="rId63" Type="http://schemas.openxmlformats.org/officeDocument/2006/relationships/hyperlink" Target="https://www.uptodate.com/contents/3829#H2431301808" TargetMode="External"/><Relationship Id="rId66" Type="http://schemas.openxmlformats.org/officeDocument/2006/relationships/hyperlink" Target="https://www.uptodate.com/contents/1784#H23" TargetMode="External"/><Relationship Id="rId65" Type="http://schemas.openxmlformats.org/officeDocument/2006/relationships/hyperlink" Target="https://uptodate.com/contents/8438" TargetMode="External"/><Relationship Id="rId68" Type="http://schemas.openxmlformats.org/officeDocument/2006/relationships/hyperlink" Target="https://www.uptodate.com/contents/3863#H19" TargetMode="External"/><Relationship Id="rId67" Type="http://schemas.openxmlformats.org/officeDocument/2006/relationships/hyperlink" Target="https://www.uptodate.com/contents/3869#H933015733" TargetMode="External"/><Relationship Id="rId60" Type="http://schemas.openxmlformats.org/officeDocument/2006/relationships/hyperlink" Target="https://www.uptodate.com/contents/3869#H933015733" TargetMode="External"/><Relationship Id="rId69" Type="http://schemas.openxmlformats.org/officeDocument/2006/relationships/hyperlink" Target="https://uptodate.com/contents/9255" TargetMode="External"/><Relationship Id="rId51" Type="http://schemas.openxmlformats.org/officeDocument/2006/relationships/hyperlink" Target="https://ai.uptodate.com/" TargetMode="External"/><Relationship Id="rId50" Type="http://schemas.openxmlformats.org/officeDocument/2006/relationships/hyperlink" Target="https://ai.uptodate.com/" TargetMode="External"/><Relationship Id="rId53" Type="http://schemas.openxmlformats.org/officeDocument/2006/relationships/hyperlink" Target="https://ai.uptodate.com/" TargetMode="External"/><Relationship Id="rId52" Type="http://schemas.openxmlformats.org/officeDocument/2006/relationships/hyperlink" Target="https://ai.uptodate.com/" TargetMode="External"/><Relationship Id="rId55" Type="http://schemas.openxmlformats.org/officeDocument/2006/relationships/hyperlink" Target="https://www.uptodate.com/contents/7395#H172092809" TargetMode="External"/><Relationship Id="rId54" Type="http://schemas.openxmlformats.org/officeDocument/2006/relationships/hyperlink" Target="https://www.uptodate.com/contents/7395#H172086724" TargetMode="External"/><Relationship Id="rId57" Type="http://schemas.openxmlformats.org/officeDocument/2006/relationships/hyperlink" Target="https://www.uptodate.com/contents/7395#H172086754" TargetMode="External"/><Relationship Id="rId56" Type="http://schemas.openxmlformats.org/officeDocument/2006/relationships/hyperlink" Target="https://www.uptodate.com/contents/7395#H36" TargetMode="External"/><Relationship Id="rId59" Type="http://schemas.openxmlformats.org/officeDocument/2006/relationships/hyperlink" Target="https://www.uptodate.com/contents/1784#H2435699" TargetMode="External"/><Relationship Id="rId58" Type="http://schemas.openxmlformats.org/officeDocument/2006/relationships/hyperlink" Target="https://www.uptodate.com/contents/1784#H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