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kng12fnr0u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89</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about the recommended follow-up for an incidental solid liver lesion detected in an adult patient. I am assuming the patient does not have risk factors for hepatocellular carcinoma (such as cirrhosis or chronic hepatitis B infection) or a history of extrahepatic malignancy, as management differs in those populations.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For most adult patients with an incidental solid liver lesion, initial follow-up should be guided by risk factors and lesion characteristics. The first step is to confirm the absence of risk factors for hepatocellular carcinoma or liver metastases. If the patient has such risk factors, the evaluation is different and discussed separately</w:t>
      </w:r>
      <w:hyperlink r:id="rId6">
        <w:r w:rsidDel="00000000" w:rsidR="00000000" w:rsidRPr="00000000">
          <w:rPr>
            <w:color w:val="232323"/>
            <w:sz w:val="24"/>
            <w:szCs w:val="24"/>
            <w:rtl w:val="0"/>
          </w:rPr>
          <w:t xml:space="preserve"> [1]</w:t>
        </w:r>
      </w:hyperlink>
      <w:hyperlink r:id="rId7">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 For patients without these risk factors, management is based on imaging features such as lesion size, margin, enhancement pattern, and growth pattern.</w:t>
      </w:r>
    </w:p>
    <w:p w:rsidR="00000000" w:rsidDel="00000000" w:rsidP="00000000" w:rsidRDefault="00000000" w:rsidRPr="00000000" w14:paraId="00000005">
      <w:pPr>
        <w:pStyle w:val="Heading3"/>
        <w:keepNext w:val="0"/>
        <w:keepLines w:val="0"/>
        <w:spacing w:after="40" w:before="460" w:line="346.66666666666663" w:lineRule="auto"/>
        <w:rPr>
          <w:b w:val="1"/>
          <w:bCs w:val="1"/>
          <w:color w:val="232323"/>
          <w:sz w:val="27"/>
          <w:szCs w:val="27"/>
        </w:rPr>
      </w:pPr>
      <w:bookmarkStart w:colFirst="0" w:colLast="0" w:name="_ix9ivnfxlei5" w:id="1"/>
      <w:bookmarkEnd w:id="1"/>
      <w:r w:rsidDel="00000000" w:rsidR="00000000" w:rsidRPr="00000000">
        <w:rPr>
          <w:b w:val="1"/>
          <w:bCs w:val="1"/>
          <w:color w:val="232323"/>
          <w:sz w:val="27"/>
          <w:szCs w:val="27"/>
          <w:rtl w:val="0"/>
        </w:rPr>
        <w:t xml:space="preserve">Recommended Follow-up Approach</w:t>
      </w:r>
    </w:p>
    <w:p w:rsidR="00000000" w:rsidDel="00000000" w:rsidP="00000000" w:rsidRDefault="00000000" w:rsidRPr="00000000" w14:paraId="00000006">
      <w:pPr>
        <w:numPr>
          <w:ilvl w:val="0"/>
          <w:numId w:val="3"/>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Assess risk factors for malignancy: Confirm the patient does not have cirrhosis, chronic hepatitis B, or a history of extrahepatic malignancy. If present, follow the diagnostic evaluation for patients at risk for malignant liver lesions </w:t>
      </w:r>
      <w:hyperlink r:id="rId8">
        <w:r w:rsidDel="00000000" w:rsidR="00000000" w:rsidRPr="00000000">
          <w:rPr>
            <w:color w:val="232323"/>
            <w:sz w:val="24"/>
            <w:szCs w:val="24"/>
            <w:rtl w:val="0"/>
          </w:rPr>
          <w:t xml:space="preserve">[1]</w:t>
        </w:r>
      </w:hyperlink>
      <w:hyperlink r:id="rId9">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3"/>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Characterize the lesion: Use contrast-enhanced, multiphasic, cross-sectional imaging (preferably MRI; CT is an alternative if MRI is contraindicated or unavailable) to further evaluate the lesion </w:t>
      </w:r>
      <w:hyperlink r:id="rId10">
        <w:r w:rsidDel="00000000" w:rsidR="00000000" w:rsidRPr="00000000">
          <w:rPr>
            <w:color w:val="232323"/>
            <w:sz w:val="24"/>
            <w:szCs w:val="24"/>
            <w:rtl w:val="0"/>
          </w:rPr>
          <w:t xml:space="preserve">[2]</w:t>
        </w:r>
      </w:hyperlink>
      <w:hyperlink r:id="rId11">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 See the </w:t>
      </w:r>
      <w:hyperlink r:id="rId12">
        <w:r w:rsidDel="00000000" w:rsidR="00000000" w:rsidRPr="00000000">
          <w:rPr>
            <w:color w:val="232323"/>
            <w:sz w:val="24"/>
            <w:szCs w:val="24"/>
            <w:rtl w:val="0"/>
          </w:rPr>
          <w:t xml:space="preserve"> diagnostic evaluation algorithm for incidental solid liver lesions</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3"/>
        </w:numPr>
        <w:spacing w:after="0" w:afterAutospacing="0" w:before="0" w:beforeAutospacing="0" w:line="390" w:lineRule="auto"/>
        <w:ind w:left="720" w:hanging="360"/>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Interpret imaging features: Lesion size, margin, enhancement pattern, and growth pattern guide further management. Most lesions &lt;1 cm are likely benign and may be monitored with surveillance imaging. Lesions ≥1 cm typically require further imaging or histologic evaluation if diagnosis remains uncertain </w:t>
      </w:r>
      <w:hyperlink r:id="rId13">
        <w:r w:rsidDel="00000000" w:rsidR="00000000" w:rsidRPr="00000000">
          <w:rPr>
            <w:color w:val="232323"/>
            <w:sz w:val="24"/>
            <w:szCs w:val="24"/>
            <w:rtl w:val="0"/>
          </w:rPr>
          <w:t xml:space="preserve">[2]</w:t>
        </w:r>
      </w:hyperlink>
      <w:hyperlink r:id="rId14">
        <w:r w:rsidDel="00000000" w:rsidR="00000000" w:rsidRPr="00000000">
          <w:rPr>
            <w:color w:val="232323"/>
            <w:sz w:val="24"/>
            <w:szCs w:val="24"/>
            <w:rtl w:val="0"/>
          </w:rPr>
          <w:t xml:space="preserve">[3]</w:t>
        </w:r>
      </w:hyperlink>
      <w:hyperlink r:id="rId15">
        <w:r w:rsidDel="00000000" w:rsidR="00000000" w:rsidRPr="00000000">
          <w:rPr>
            <w:color w:val="232323"/>
            <w:sz w:val="24"/>
            <w:szCs w:val="24"/>
            <w:rtl w:val="0"/>
          </w:rPr>
          <w:t xml:space="preserve">[4]</w:t>
        </w:r>
      </w:hyperlink>
      <w:hyperlink r:id="rId16">
        <w:r w:rsidDel="00000000" w:rsidR="00000000" w:rsidRPr="00000000">
          <w:rPr>
            <w:color w:val="232323"/>
            <w:sz w:val="24"/>
            <w:szCs w:val="24"/>
            <w:rtl w:val="0"/>
          </w:rPr>
          <w:t xml:space="preserve">[5]</w:t>
        </w:r>
      </w:hyperlink>
      <w:hyperlink r:id="rId17">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 See the </w:t>
      </w:r>
      <w:hyperlink r:id="rId18">
        <w:r w:rsidDel="00000000" w:rsidR="00000000" w:rsidRPr="00000000">
          <w:rPr>
            <w:color w:val="232323"/>
            <w:sz w:val="24"/>
            <w:szCs w:val="24"/>
            <w:rtl w:val="0"/>
          </w:rPr>
          <w:t xml:space="preserve"> typical imaging features of solid liver lesions</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3"/>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Surveillance imaging: If the lesion cannot be characterized with imaging and is not amenable to biopsy (e.g., &lt;1 cm), perform surveillance imaging to monitor for growth or changes. Surveillance intervals are individualized but generally range from 6 to 12 months </w:t>
      </w:r>
      <w:hyperlink r:id="rId19">
        <w:r w:rsidDel="00000000" w:rsidR="00000000" w:rsidRPr="00000000">
          <w:rPr>
            <w:color w:val="232323"/>
            <w:sz w:val="24"/>
            <w:szCs w:val="24"/>
            <w:rtl w:val="0"/>
          </w:rPr>
          <w:t xml:space="preserve">[6]</w:t>
        </w:r>
      </w:hyperlink>
      <w:hyperlink r:id="rId20">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3"/>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Biopsy or surgical resection: If the diagnosis remains uncertain after imaging and results will affect management, consider imaging-guided biopsy or surgical resection. Biopsy is generally avoided for suspected hepatocellular adenoma due to bleeding risk </w:t>
      </w:r>
      <w:hyperlink r:id="rId21">
        <w:r w:rsidDel="00000000" w:rsidR="00000000" w:rsidRPr="00000000">
          <w:rPr>
            <w:color w:val="232323"/>
            <w:sz w:val="24"/>
            <w:szCs w:val="24"/>
            <w:rtl w:val="0"/>
          </w:rPr>
          <w:t xml:space="preserve">[8]</w:t>
        </w:r>
      </w:hyperlink>
      <w:hyperlink r:id="rId22">
        <w:r w:rsidDel="00000000" w:rsidR="00000000" w:rsidRPr="00000000">
          <w:rPr>
            <w:color w:val="232323"/>
            <w:sz w:val="24"/>
            <w:szCs w:val="24"/>
            <w:rtl w:val="0"/>
          </w:rPr>
          <w:t xml:space="preserve">[9]</w:t>
        </w:r>
      </w:hyperlink>
      <w:hyperlink r:id="rId23">
        <w:r w:rsidDel="00000000" w:rsidR="00000000" w:rsidRPr="00000000">
          <w:rPr>
            <w:color w:val="232323"/>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B">
      <w:pPr>
        <w:pStyle w:val="Heading3"/>
        <w:keepNext w:val="0"/>
        <w:keepLines w:val="0"/>
        <w:spacing w:after="40" w:before="460" w:line="346.66666666666663" w:lineRule="auto"/>
        <w:rPr>
          <w:b w:val="1"/>
          <w:bCs w:val="1"/>
          <w:color w:val="232323"/>
          <w:sz w:val="27"/>
          <w:szCs w:val="27"/>
        </w:rPr>
      </w:pPr>
      <w:bookmarkStart w:colFirst="0" w:colLast="0" w:name="_t96oto6cypf4" w:id="2"/>
      <w:bookmarkEnd w:id="2"/>
      <w:r w:rsidDel="00000000" w:rsidR="00000000" w:rsidRPr="00000000">
        <w:rPr>
          <w:b w:val="1"/>
          <w:bCs w:val="1"/>
          <w:color w:val="232323"/>
          <w:sz w:val="27"/>
          <w:szCs w:val="27"/>
          <w:rtl w:val="0"/>
        </w:rPr>
        <w:t xml:space="preserve">Key Points</w:t>
      </w:r>
    </w:p>
    <w:p w:rsidR="00000000" w:rsidDel="00000000" w:rsidP="00000000" w:rsidRDefault="00000000" w:rsidRPr="00000000" w14:paraId="0000000C">
      <w:pPr>
        <w:numPr>
          <w:ilvl w:val="0"/>
          <w:numId w:val="14"/>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Always confirm absence of risk factors for liver malignancy before determining follow-up </w:t>
      </w:r>
      <w:hyperlink r:id="rId24">
        <w:r w:rsidDel="00000000" w:rsidR="00000000" w:rsidRPr="00000000">
          <w:rPr>
            <w:color w:val="232323"/>
            <w:sz w:val="24"/>
            <w:szCs w:val="24"/>
            <w:rtl w:val="0"/>
          </w:rPr>
          <w:t xml:space="preserve">[1]</w:t>
        </w:r>
      </w:hyperlink>
      <w:hyperlink r:id="rId25">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4"/>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Use contrast-enhanced MRI (preferred) or CT for further lesion characterization </w:t>
      </w:r>
      <w:hyperlink r:id="rId26">
        <w:r w:rsidDel="00000000" w:rsidR="00000000" w:rsidRPr="00000000">
          <w:rPr>
            <w:color w:val="232323"/>
            <w:sz w:val="24"/>
            <w:szCs w:val="24"/>
            <w:rtl w:val="0"/>
          </w:rPr>
          <w:t xml:space="preserve">[2]</w:t>
        </w:r>
      </w:hyperlink>
      <w:hyperlink r:id="rId27">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14"/>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Lesion characteristics (size, margin, enhancement, growth) guide management and follow-up </w:t>
      </w:r>
      <w:hyperlink r:id="rId28">
        <w:r w:rsidDel="00000000" w:rsidR="00000000" w:rsidRPr="00000000">
          <w:rPr>
            <w:color w:val="232323"/>
            <w:sz w:val="24"/>
            <w:szCs w:val="24"/>
            <w:rtl w:val="0"/>
          </w:rPr>
          <w:t xml:space="preserve">[3]</w:t>
        </w:r>
      </w:hyperlink>
      <w:hyperlink r:id="rId29">
        <w:r w:rsidDel="00000000" w:rsidR="00000000" w:rsidRPr="00000000">
          <w:rPr>
            <w:color w:val="232323"/>
            <w:sz w:val="24"/>
            <w:szCs w:val="24"/>
            <w:rtl w:val="0"/>
          </w:rPr>
          <w:t xml:space="preserve">[4]</w:t>
        </w:r>
      </w:hyperlink>
      <w:hyperlink r:id="rId30">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14"/>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Surveillance imaging is appropriate for lesions that cannot be definitively characterized, especially those &lt;1 cm </w:t>
      </w:r>
      <w:hyperlink r:id="rId31">
        <w:r w:rsidDel="00000000" w:rsidR="00000000" w:rsidRPr="00000000">
          <w:rPr>
            <w:color w:val="232323"/>
            <w:sz w:val="24"/>
            <w:szCs w:val="24"/>
            <w:rtl w:val="0"/>
          </w:rPr>
          <w:t xml:space="preserve">[6]</w:t>
        </w:r>
      </w:hyperlink>
      <w:hyperlink r:id="rId32">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14"/>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Biopsy or resection is reserved for lesions with uncertain diagnosis after imaging, if results will impact management </w:t>
      </w:r>
      <w:hyperlink r:id="rId33">
        <w:r w:rsidDel="00000000" w:rsidR="00000000" w:rsidRPr="00000000">
          <w:rPr>
            <w:color w:val="232323"/>
            <w:sz w:val="24"/>
            <w:szCs w:val="24"/>
            <w:rtl w:val="0"/>
          </w:rPr>
          <w:t xml:space="preserve">[8]</w:t>
        </w:r>
      </w:hyperlink>
      <w:hyperlink r:id="rId34">
        <w:r w:rsidDel="00000000" w:rsidR="00000000" w:rsidRPr="00000000">
          <w:rPr>
            <w:color w:val="232323"/>
            <w:sz w:val="24"/>
            <w:szCs w:val="24"/>
            <w:rtl w:val="0"/>
          </w:rPr>
          <w:t xml:space="preserve">[9]</w:t>
        </w:r>
      </w:hyperlink>
      <w:hyperlink r:id="rId35">
        <w:r w:rsidDel="00000000" w:rsidR="00000000" w:rsidRPr="00000000">
          <w:rPr>
            <w:color w:val="232323"/>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pacing w:after="40" w:before="460" w:line="346.66666666666663" w:lineRule="auto"/>
        <w:rPr>
          <w:b w:val="1"/>
          <w:bCs w:val="1"/>
          <w:color w:val="232323"/>
          <w:sz w:val="27"/>
          <w:szCs w:val="27"/>
        </w:rPr>
      </w:pPr>
      <w:bookmarkStart w:colFirst="0" w:colLast="0" w:name="_vfhsbui98txk"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2">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3">
      <w:pPr>
        <w:numPr>
          <w:ilvl w:val="0"/>
          <w:numId w:val="1"/>
        </w:numPr>
        <w:spacing w:after="0" w:afterAutospacing="0" w:before="220" w:line="390" w:lineRule="auto"/>
        <w:ind w:left="720" w:hanging="360"/>
        <w:rPr>
          <w:color w:val="1155cc"/>
        </w:rPr>
      </w:pPr>
      <w:hyperlink r:id="rId36">
        <w:r w:rsidDel="00000000" w:rsidR="00000000" w:rsidRPr="00000000">
          <w:rPr>
            <w:color w:val="1155cc"/>
            <w:sz w:val="24"/>
            <w:szCs w:val="24"/>
            <w:rtl w:val="0"/>
          </w:rPr>
          <w:t xml:space="preserve">What if the patient has cirrhosis or chronic hepatitis B?</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390" w:lineRule="auto"/>
        <w:ind w:left="720" w:hanging="360"/>
        <w:rPr>
          <w:color w:val="1155cc"/>
        </w:rPr>
      </w:pPr>
      <w:hyperlink r:id="rId37">
        <w:r w:rsidDel="00000000" w:rsidR="00000000" w:rsidRPr="00000000">
          <w:rPr>
            <w:color w:val="1155cc"/>
            <w:sz w:val="24"/>
            <w:szCs w:val="24"/>
            <w:rtl w:val="0"/>
          </w:rPr>
          <w:t xml:space="preserve">What if the patient has a history of extrahepatic malignancy?</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390" w:lineRule="auto"/>
        <w:ind w:left="720" w:hanging="360"/>
        <w:rPr>
          <w:color w:val="1155cc"/>
        </w:rPr>
      </w:pPr>
      <w:hyperlink r:id="rId38">
        <w:r w:rsidDel="00000000" w:rsidR="00000000" w:rsidRPr="00000000">
          <w:rPr>
            <w:color w:val="1155cc"/>
            <w:sz w:val="24"/>
            <w:szCs w:val="24"/>
            <w:rtl w:val="0"/>
          </w:rPr>
          <w:t xml:space="preserve">What if the lesion is &lt;1 cm?</w:t>
        </w:r>
      </w:hyperlink>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390" w:lineRule="auto"/>
        <w:ind w:left="720" w:hanging="360"/>
        <w:rPr>
          <w:color w:val="1155cc"/>
        </w:rPr>
      </w:pPr>
      <w:hyperlink r:id="rId39">
        <w:r w:rsidDel="00000000" w:rsidR="00000000" w:rsidRPr="00000000">
          <w:rPr>
            <w:color w:val="1155cc"/>
            <w:sz w:val="24"/>
            <w:szCs w:val="24"/>
            <w:rtl w:val="0"/>
          </w:rPr>
          <w:t xml:space="preserve">What if the lesion is ≥1 cm?</w:t>
        </w:r>
      </w:hyperlink>
      <w:r w:rsidDel="00000000" w:rsidR="00000000" w:rsidRPr="00000000">
        <w:rPr>
          <w:rtl w:val="0"/>
        </w:rPr>
      </w:r>
    </w:p>
    <w:p w:rsidR="00000000" w:rsidDel="00000000" w:rsidP="00000000" w:rsidRDefault="00000000" w:rsidRPr="00000000" w14:paraId="00000017">
      <w:pPr>
        <w:numPr>
          <w:ilvl w:val="0"/>
          <w:numId w:val="1"/>
        </w:numPr>
        <w:spacing w:after="240" w:before="0" w:beforeAutospacing="0" w:line="390" w:lineRule="auto"/>
        <w:ind w:left="720" w:hanging="360"/>
        <w:rPr>
          <w:color w:val="1155cc"/>
        </w:rPr>
      </w:pPr>
      <w:hyperlink r:id="rId40">
        <w:r w:rsidDel="00000000" w:rsidR="00000000" w:rsidRPr="00000000">
          <w:rPr>
            <w:color w:val="1155cc"/>
            <w:sz w:val="24"/>
            <w:szCs w:val="24"/>
            <w:rtl w:val="0"/>
          </w:rPr>
          <w:t xml:space="preserve">What if imaging is inconclusive?</w:t>
        </w:r>
      </w:hyperlink>
      <w:r w:rsidDel="00000000" w:rsidR="00000000" w:rsidRPr="00000000">
        <w:rPr>
          <w:rtl w:val="0"/>
        </w:rPr>
      </w:r>
    </w:p>
    <w:p w:rsidR="00000000" w:rsidDel="00000000" w:rsidP="00000000" w:rsidRDefault="00000000" w:rsidRPr="00000000" w14:paraId="00000018">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lesion type or risk profile.</w:t>
      </w:r>
    </w:p>
    <w:p w:rsidR="00000000" w:rsidDel="00000000" w:rsidP="00000000" w:rsidRDefault="00000000" w:rsidRPr="00000000" w14:paraId="00000019">
      <w:pPr>
        <w:pStyle w:val="Heading3"/>
        <w:keepNext w:val="0"/>
        <w:keepLines w:val="0"/>
        <w:spacing w:after="40" w:before="460" w:line="346.66666666666663" w:lineRule="auto"/>
        <w:rPr>
          <w:b w:val="1"/>
          <w:bCs w:val="1"/>
          <w:color w:val="1155cc"/>
          <w:sz w:val="27"/>
          <w:szCs w:val="27"/>
        </w:rPr>
      </w:pPr>
      <w:bookmarkStart w:colFirst="0" w:colLast="0" w:name="_i8l8fjysaegz" w:id="4"/>
      <w:bookmarkEnd w:id="4"/>
      <w:r w:rsidDel="00000000" w:rsidR="00000000" w:rsidRPr="00000000">
        <w:rPr>
          <w:b w:val="1"/>
          <w:bCs w:val="1"/>
          <w:color w:val="232323"/>
          <w:sz w:val="27"/>
          <w:szCs w:val="27"/>
          <w:rtl w:val="0"/>
        </w:rPr>
        <w:t xml:space="preserve">UpToDate® Sources</w:t>
      </w:r>
      <w:r w:rsidDel="00000000" w:rsidR="00000000" w:rsidRPr="00000000">
        <w:rPr>
          <w:rtl w:val="0"/>
        </w:rPr>
      </w:r>
    </w:p>
    <w:p w:rsidR="00000000" w:rsidDel="00000000" w:rsidP="00000000" w:rsidRDefault="00000000" w:rsidRPr="00000000" w14:paraId="0000001A">
      <w:pPr>
        <w:numPr>
          <w:ilvl w:val="0"/>
          <w:numId w:val="9"/>
        </w:numPr>
        <w:spacing w:after="0" w:afterAutospacing="0" w:before="240" w:lineRule="auto"/>
        <w:ind w:left="720" w:hanging="360"/>
        <w:rPr>
          <w:color w:val="1155cc"/>
        </w:rPr>
      </w:pPr>
      <w:hyperlink r:id="rId41">
        <w:r w:rsidDel="00000000" w:rsidR="00000000" w:rsidRPr="00000000">
          <w:rPr>
            <w:color w:val="1155cc"/>
            <w:sz w:val="24"/>
            <w:szCs w:val="24"/>
            <w:rtl w:val="0"/>
          </w:rPr>
          <w:t xml:space="preserve">Approach to the adult patient with an incidental solid liver lesion &gt; DIAGNOSTIC APPROACH &gt; Factors that guide decision-making &gt; Assess risk factors for liver malignancy</w:t>
        </w:r>
      </w:hyperlink>
      <w:r w:rsidDel="00000000" w:rsidR="00000000" w:rsidRPr="00000000">
        <w:rPr>
          <w:rtl w:val="0"/>
        </w:rPr>
      </w:r>
    </w:p>
    <w:p w:rsidR="00000000" w:rsidDel="00000000" w:rsidP="00000000" w:rsidRDefault="00000000" w:rsidRPr="00000000" w14:paraId="0000001B">
      <w:pPr>
        <w:numPr>
          <w:ilvl w:val="0"/>
          <w:numId w:val="9"/>
        </w:numPr>
        <w:spacing w:after="0" w:afterAutospacing="0" w:before="0" w:beforeAutospacing="0" w:lineRule="auto"/>
        <w:ind w:left="720" w:hanging="360"/>
        <w:rPr>
          <w:color w:val="1155cc"/>
        </w:rPr>
      </w:pPr>
      <w:hyperlink r:id="rId42">
        <w:r w:rsidDel="00000000" w:rsidR="00000000" w:rsidRPr="00000000">
          <w:rPr>
            <w:color w:val="1155cc"/>
            <w:sz w:val="24"/>
            <w:szCs w:val="24"/>
            <w:rtl w:val="0"/>
          </w:rPr>
          <w:t xml:space="preserve">Approach to the adult patient with an incidental solid liver lesion &gt; SUMMARY AND RECOMMENDATIONS</w:t>
        </w:r>
      </w:hyperlink>
      <w:r w:rsidDel="00000000" w:rsidR="00000000" w:rsidRPr="00000000">
        <w:rPr>
          <w:rtl w:val="0"/>
        </w:rPr>
      </w:r>
    </w:p>
    <w:p w:rsidR="00000000" w:rsidDel="00000000" w:rsidP="00000000" w:rsidRDefault="00000000" w:rsidRPr="00000000" w14:paraId="0000001C">
      <w:pPr>
        <w:numPr>
          <w:ilvl w:val="0"/>
          <w:numId w:val="9"/>
        </w:numPr>
        <w:spacing w:after="0" w:afterAutospacing="0" w:before="0" w:beforeAutospacing="0" w:lineRule="auto"/>
        <w:ind w:left="720" w:hanging="360"/>
        <w:rPr>
          <w:color w:val="1155cc"/>
        </w:rPr>
      </w:pPr>
      <w:hyperlink r:id="rId43">
        <w:r w:rsidDel="00000000" w:rsidR="00000000" w:rsidRPr="00000000">
          <w:rPr>
            <w:color w:val="1155cc"/>
            <w:sz w:val="24"/>
            <w:szCs w:val="24"/>
            <w:rtl w:val="0"/>
          </w:rPr>
          <w:t xml:space="preserve">Approach to the adult patient with an incidental solid liver lesion &gt; DIAGNOSTIC APPROACH &gt; Initial evaluation &gt; Selecting an imaging modality</w:t>
        </w:r>
      </w:hyperlink>
      <w:r w:rsidDel="00000000" w:rsidR="00000000" w:rsidRPr="00000000">
        <w:rPr>
          <w:rtl w:val="0"/>
        </w:rPr>
      </w:r>
    </w:p>
    <w:p w:rsidR="00000000" w:rsidDel="00000000" w:rsidP="00000000" w:rsidRDefault="00000000" w:rsidRPr="00000000" w14:paraId="0000001D">
      <w:pPr>
        <w:numPr>
          <w:ilvl w:val="0"/>
          <w:numId w:val="9"/>
        </w:numPr>
        <w:spacing w:after="0" w:afterAutospacing="0" w:before="0" w:beforeAutospacing="0" w:lineRule="auto"/>
        <w:ind w:left="720" w:hanging="360"/>
        <w:rPr>
          <w:color w:val="1155cc"/>
        </w:rPr>
      </w:pPr>
      <w:hyperlink r:id="rId44">
        <w:r w:rsidDel="00000000" w:rsidR="00000000" w:rsidRPr="00000000">
          <w:rPr>
            <w:color w:val="1155cc"/>
            <w:sz w:val="24"/>
            <w:szCs w:val="24"/>
            <w:rtl w:val="0"/>
          </w:rPr>
          <w:t xml:space="preserve">Approach to the adult patient with an incidental solid liver lesion &gt; DIAGNOSTIC APPROACH &gt; Factors that guide decision-making &gt; Lesion characteristics</w:t>
        </w:r>
      </w:hyperlink>
      <w:r w:rsidDel="00000000" w:rsidR="00000000" w:rsidRPr="00000000">
        <w:rPr>
          <w:rtl w:val="0"/>
        </w:rPr>
      </w:r>
    </w:p>
    <w:p w:rsidR="00000000" w:rsidDel="00000000" w:rsidP="00000000" w:rsidRDefault="00000000" w:rsidRPr="00000000" w14:paraId="0000001E">
      <w:pPr>
        <w:numPr>
          <w:ilvl w:val="0"/>
          <w:numId w:val="9"/>
        </w:numPr>
        <w:spacing w:after="0" w:afterAutospacing="0" w:before="0" w:beforeAutospacing="0" w:lineRule="auto"/>
        <w:ind w:left="720" w:hanging="360"/>
        <w:rPr>
          <w:color w:val="1155cc"/>
        </w:rPr>
      </w:pPr>
      <w:hyperlink r:id="rId45">
        <w:r w:rsidDel="00000000" w:rsidR="00000000" w:rsidRPr="00000000">
          <w:rPr>
            <w:color w:val="1155cc"/>
            <w:sz w:val="24"/>
            <w:szCs w:val="24"/>
            <w:rtl w:val="0"/>
          </w:rPr>
          <w:t xml:space="preserve">Approach to the adult patient with an incidental solid liver lesion &gt; DIAGNOSTIC APPROACH &gt; Initial evaluation</w:t>
        </w:r>
      </w:hyperlink>
      <w:r w:rsidDel="00000000" w:rsidR="00000000" w:rsidRPr="00000000">
        <w:rPr>
          <w:rtl w:val="0"/>
        </w:rPr>
      </w:r>
    </w:p>
    <w:p w:rsidR="00000000" w:rsidDel="00000000" w:rsidP="00000000" w:rsidRDefault="00000000" w:rsidRPr="00000000" w14:paraId="0000001F">
      <w:pPr>
        <w:numPr>
          <w:ilvl w:val="0"/>
          <w:numId w:val="9"/>
        </w:numPr>
        <w:spacing w:after="0" w:afterAutospacing="0" w:before="0" w:beforeAutospacing="0" w:lineRule="auto"/>
        <w:ind w:left="720" w:hanging="360"/>
        <w:rPr>
          <w:color w:val="1155cc"/>
        </w:rPr>
      </w:pPr>
      <w:hyperlink r:id="rId46">
        <w:r w:rsidDel="00000000" w:rsidR="00000000" w:rsidRPr="00000000">
          <w:rPr>
            <w:color w:val="1155cc"/>
            <w:sz w:val="24"/>
            <w:szCs w:val="24"/>
            <w:rtl w:val="0"/>
          </w:rPr>
          <w:t xml:space="preserve">Approach to the adult patient with an incidental solid liver lesion &gt; DIAGNOSTIC APPROACH &gt; Subsequent evaluation &gt; Surveillance imaging</w:t>
        </w:r>
      </w:hyperlink>
      <w:r w:rsidDel="00000000" w:rsidR="00000000" w:rsidRPr="00000000">
        <w:rPr>
          <w:rtl w:val="0"/>
        </w:rPr>
      </w:r>
    </w:p>
    <w:p w:rsidR="00000000" w:rsidDel="00000000" w:rsidP="00000000" w:rsidRDefault="00000000" w:rsidRPr="00000000" w14:paraId="00000020">
      <w:pPr>
        <w:numPr>
          <w:ilvl w:val="0"/>
          <w:numId w:val="9"/>
        </w:numPr>
        <w:spacing w:after="0" w:afterAutospacing="0" w:before="0" w:beforeAutospacing="0" w:lineRule="auto"/>
        <w:ind w:left="720" w:hanging="360"/>
        <w:rPr>
          <w:color w:val="1155cc"/>
        </w:rPr>
      </w:pPr>
      <w:hyperlink r:id="rId47">
        <w:r w:rsidDel="00000000" w:rsidR="00000000" w:rsidRPr="00000000">
          <w:rPr>
            <w:color w:val="1155cc"/>
            <w:sz w:val="24"/>
            <w:szCs w:val="24"/>
            <w:rtl w:val="0"/>
          </w:rPr>
          <w:t xml:space="preserve">Clinical features and diagnosis of hepatocellular carcinoma &gt; PATIENTS REQUIRING ADDITIONAL EVALUATION &gt; Follow-up imaging</w:t>
        </w:r>
      </w:hyperlink>
      <w:r w:rsidDel="00000000" w:rsidR="00000000" w:rsidRPr="00000000">
        <w:rPr>
          <w:rtl w:val="0"/>
        </w:rPr>
      </w:r>
    </w:p>
    <w:p w:rsidR="00000000" w:rsidDel="00000000" w:rsidP="00000000" w:rsidRDefault="00000000" w:rsidRPr="00000000" w14:paraId="00000021">
      <w:pPr>
        <w:numPr>
          <w:ilvl w:val="0"/>
          <w:numId w:val="9"/>
        </w:numPr>
        <w:spacing w:after="0" w:afterAutospacing="0" w:before="0" w:beforeAutospacing="0" w:lineRule="auto"/>
        <w:ind w:left="720" w:hanging="360"/>
        <w:rPr>
          <w:color w:val="1155cc"/>
        </w:rPr>
      </w:pPr>
      <w:hyperlink r:id="rId48">
        <w:r w:rsidDel="00000000" w:rsidR="00000000" w:rsidRPr="00000000">
          <w:rPr>
            <w:color w:val="1155cc"/>
            <w:sz w:val="24"/>
            <w:szCs w:val="24"/>
            <w:rtl w:val="0"/>
          </w:rPr>
          <w:t xml:space="preserve">Approach to the adult patient with an incidental solid liver lesion &gt; DIAGNOSTIC APPROACH &gt; Subsequent evaluation</w:t>
        </w:r>
      </w:hyperlink>
      <w:r w:rsidDel="00000000" w:rsidR="00000000" w:rsidRPr="00000000">
        <w:rPr>
          <w:rtl w:val="0"/>
        </w:rPr>
      </w:r>
    </w:p>
    <w:p w:rsidR="00000000" w:rsidDel="00000000" w:rsidP="00000000" w:rsidRDefault="00000000" w:rsidRPr="00000000" w14:paraId="00000022">
      <w:pPr>
        <w:numPr>
          <w:ilvl w:val="0"/>
          <w:numId w:val="9"/>
        </w:numPr>
        <w:spacing w:after="0" w:afterAutospacing="0" w:before="0" w:beforeAutospacing="0" w:lineRule="auto"/>
        <w:ind w:left="720" w:hanging="360"/>
        <w:rPr>
          <w:color w:val="1155cc"/>
        </w:rPr>
      </w:pPr>
      <w:hyperlink r:id="rId49">
        <w:r w:rsidDel="00000000" w:rsidR="00000000" w:rsidRPr="00000000">
          <w:rPr>
            <w:color w:val="1155cc"/>
            <w:sz w:val="24"/>
            <w:szCs w:val="24"/>
            <w:rtl w:val="0"/>
          </w:rPr>
          <w:t xml:space="preserve">Approach to the adult patient with an incidental solid liver lesion &gt; DIAGNOSTIC APPROACH &gt; Subsequent evaluation &gt; Biopsy</w:t>
        </w:r>
      </w:hyperlink>
      <w:r w:rsidDel="00000000" w:rsidR="00000000" w:rsidRPr="00000000">
        <w:rPr>
          <w:rtl w:val="0"/>
        </w:rPr>
      </w:r>
    </w:p>
    <w:p w:rsidR="00000000" w:rsidDel="00000000" w:rsidP="00000000" w:rsidRDefault="00000000" w:rsidRPr="00000000" w14:paraId="00000023">
      <w:pPr>
        <w:numPr>
          <w:ilvl w:val="0"/>
          <w:numId w:val="9"/>
        </w:numPr>
        <w:spacing w:after="240" w:before="0" w:beforeAutospacing="0" w:lineRule="auto"/>
        <w:ind w:left="720" w:hanging="360"/>
        <w:rPr>
          <w:color w:val="1155cc"/>
        </w:rPr>
      </w:pPr>
      <w:hyperlink r:id="rId50">
        <w:r w:rsidDel="00000000" w:rsidR="00000000" w:rsidRPr="00000000">
          <w:rPr>
            <w:color w:val="1155cc"/>
            <w:sz w:val="24"/>
            <w:szCs w:val="24"/>
            <w:rtl w:val="0"/>
          </w:rPr>
          <w:t xml:space="preserve">Approach to the adult patient with an incidental solid liver lesion &gt; DIAGNOSTIC APPROACH &gt; Subsequent evaluation &gt; Surgical resection</w:t>
        </w:r>
      </w:hyperlink>
      <w:r w:rsidDel="00000000" w:rsidR="00000000" w:rsidRPr="00000000">
        <w:rPr>
          <w:rtl w:val="0"/>
        </w:rPr>
      </w:r>
    </w:p>
    <w:p w:rsidR="00000000" w:rsidDel="00000000" w:rsidP="00000000" w:rsidRDefault="00000000" w:rsidRPr="00000000" w14:paraId="00000024">
      <w:pPr>
        <w:rPr>
          <w:color w:val="1155cc"/>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sz w:val="24"/>
          <w:szCs w:val="24"/>
        </w:rPr>
        <w:sectPr>
          <w:type w:val="nextPage"/>
          <w:pgSz w:h="15840" w:w="12240" w:orient="portrait"/>
          <w:pgMar w:bottom="1440" w:top="1440" w:left="1440" w:right="1440" w:header="720" w:footer="720"/>
          <w:pgNumType w:start="1"/>
        </w:sectPr>
      </w:pPr>
      <w:bookmarkStart w:colFirst="0" w:colLast="0" w:name="_hq65175sxse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90</w:t>
      </w:r>
      <w:r w:rsidDel="00000000" w:rsidR="00000000" w:rsidRPr="00000000">
        <w:rPr>
          <w:rtl w:val="0"/>
        </w:rPr>
      </w:r>
    </w:p>
    <w:p w:rsidR="00000000" w:rsidDel="00000000" w:rsidP="00000000" w:rsidRDefault="00000000" w:rsidRPr="00000000" w14:paraId="00000026">
      <w:pPr>
        <w:spacing w:line="390" w:lineRule="auto"/>
        <w:rPr>
          <w:color w:val="232323"/>
          <w:sz w:val="24"/>
          <w:szCs w:val="24"/>
        </w:rPr>
      </w:pPr>
      <w:r w:rsidDel="00000000" w:rsidR="00000000" w:rsidRPr="00000000">
        <w:rPr>
          <w:color w:val="232323"/>
          <w:sz w:val="24"/>
          <w:szCs w:val="24"/>
          <w:rtl w:val="0"/>
        </w:rPr>
        <w:t xml:space="preserve">ASSUMPTIONS: You are asking whether a patient's uric acid level is high enough to require treatment, but you have not provided the actual uric acid value or any clinical context (such as symptoms, comorbidities, or risk factors). I am assuming you are referring to an adult with asymptomatic hyperuricemia and are seeking guidance on thresholds for evaluation and treatment.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90" w:lineRule="auto"/>
        <w:rPr>
          <w:color w:val="232323"/>
          <w:sz w:val="24"/>
          <w:szCs w:val="24"/>
        </w:rPr>
      </w:pPr>
      <w:r w:rsidDel="00000000" w:rsidR="00000000" w:rsidRPr="00000000">
        <w:rPr>
          <w:color w:val="232323"/>
          <w:sz w:val="24"/>
          <w:szCs w:val="24"/>
          <w:rtl w:val="0"/>
        </w:rPr>
        <w:t xml:space="preserve">For most adults with asymptomatic hyperuricemia, pharmacologic urate-lowering therapy is generally NOT recommended unless there are specific risk factors or associated conditions. According to UpToDate guidance, persistent asymptomatic hyperuricemia is defined as a serum urate concentration exceeding about 7 mg/dL (416 micromol/L), but treatment is usually only considered if the level is markedly elevated (e.g., &gt;13 mg/dL [&gt;773 micromol/L]) or if there is evidence of urate crystal deposition (such as gout, tophi, or uric acid nephrolithiasis), or if the patient has underlying conditions that increase risk (e.g., monogenic defects in purine metabolism, myelo- or lymphoproliferative disorders, or autosomal dominant tubulointerstitial kidney disease)</w:t>
      </w:r>
      <w:hyperlink r:id="rId51">
        <w:r w:rsidDel="00000000" w:rsidR="00000000" w:rsidRPr="00000000">
          <w:rPr>
            <w:color w:val="232323"/>
            <w:sz w:val="24"/>
            <w:szCs w:val="24"/>
            <w:rtl w:val="0"/>
          </w:rPr>
          <w:t xml:space="preserve"> </w:t>
        </w:r>
      </w:hyperlink>
      <w:hyperlink r:id="rId52">
        <w:r w:rsidDel="00000000" w:rsidR="00000000" w:rsidRPr="00000000">
          <w:rPr>
            <w:color w:val="1155cc"/>
            <w:sz w:val="24"/>
            <w:szCs w:val="24"/>
            <w:rtl w:val="0"/>
          </w:rPr>
          <w:t xml:space="preserve">[1]</w:t>
        </w:r>
      </w:hyperlink>
      <w:hyperlink r:id="rId53">
        <w:r w:rsidDel="00000000" w:rsidR="00000000" w:rsidRPr="00000000">
          <w:rPr>
            <w:color w:val="1155cc"/>
            <w:sz w:val="24"/>
            <w:szCs w:val="24"/>
            <w:rtl w:val="0"/>
          </w:rPr>
          <w:t xml:space="preserve">[2]</w:t>
        </w:r>
      </w:hyperlink>
      <w:hyperlink r:id="rId54">
        <w:r w:rsidDel="00000000" w:rsidR="00000000" w:rsidRPr="00000000">
          <w:rPr>
            <w:color w:val="1155cc"/>
            <w:sz w:val="24"/>
            <w:szCs w:val="24"/>
            <w:rtl w:val="0"/>
          </w:rPr>
          <w:t xml:space="preserve">[3]</w:t>
        </w:r>
      </w:hyperlink>
      <w:hyperlink r:id="rId55">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9">
      <w:pPr>
        <w:spacing w:line="390" w:lineRule="auto"/>
        <w:rPr>
          <w:color w:val="232323"/>
          <w:sz w:val="24"/>
          <w:szCs w:val="24"/>
        </w:rPr>
      </w:pPr>
      <w:r w:rsidDel="00000000" w:rsidR="00000000" w:rsidRPr="00000000">
        <w:rPr>
          <w:rtl w:val="0"/>
        </w:rPr>
      </w:r>
    </w:p>
    <w:p w:rsidR="00000000" w:rsidDel="00000000" w:rsidP="00000000" w:rsidRDefault="00000000" w:rsidRPr="00000000" w14:paraId="0000002A">
      <w:pPr>
        <w:spacing w:line="390" w:lineRule="auto"/>
        <w:rPr>
          <w:color w:val="232323"/>
          <w:sz w:val="24"/>
          <w:szCs w:val="24"/>
        </w:rPr>
      </w:pPr>
      <w:r w:rsidDel="00000000" w:rsidR="00000000" w:rsidRPr="00000000">
        <w:rPr>
          <w:color w:val="232323"/>
          <w:sz w:val="24"/>
          <w:szCs w:val="24"/>
          <w:rtl w:val="0"/>
        </w:rPr>
        <w:t xml:space="preserve">For patients with sustained marked asymptomatic hyperuricemia (&gt;13 mg/dL [&gt;773 micromol/L]), especially if due to underlying disorders, both pharmacologic and nonpharmacologic measures may be considered to reduce serum urate</w:t>
      </w:r>
      <w:hyperlink r:id="rId56">
        <w:r w:rsidDel="00000000" w:rsidR="00000000" w:rsidRPr="00000000">
          <w:rPr>
            <w:color w:val="232323"/>
            <w:sz w:val="24"/>
            <w:szCs w:val="24"/>
            <w:rtl w:val="0"/>
          </w:rPr>
          <w:t xml:space="preserve"> </w:t>
        </w:r>
      </w:hyperlink>
      <w:hyperlink r:id="rId57">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In patients with urinary uric acid excretion &gt;1100 mg daily, a purine-restricted diet and increased hydration are recommended, and if levels remain high, urinary alkalinization or</w:t>
      </w:r>
      <w:hyperlink r:id="rId58">
        <w:r w:rsidDel="00000000" w:rsidR="00000000" w:rsidRPr="00000000">
          <w:rPr>
            <w:color w:val="232323"/>
            <w:sz w:val="24"/>
            <w:szCs w:val="24"/>
            <w:rtl w:val="0"/>
          </w:rPr>
          <w:t xml:space="preserve"> </w:t>
        </w:r>
      </w:hyperlink>
      <w:hyperlink r:id="rId59">
        <w:r w:rsidDel="00000000" w:rsidR="00000000" w:rsidRPr="00000000">
          <w:rPr>
            <w:color w:val="1155cc"/>
            <w:sz w:val="24"/>
            <w:szCs w:val="24"/>
            <w:rtl w:val="0"/>
          </w:rPr>
          <w:t xml:space="preserve">allopurinol</w:t>
        </w:r>
      </w:hyperlink>
      <w:r w:rsidDel="00000000" w:rsidR="00000000" w:rsidRPr="00000000">
        <w:rPr>
          <w:color w:val="232323"/>
          <w:sz w:val="24"/>
          <w:szCs w:val="24"/>
          <w:rtl w:val="0"/>
        </w:rPr>
        <w:t xml:space="preserve"> may be added</w:t>
      </w:r>
      <w:hyperlink r:id="rId60">
        <w:r w:rsidDel="00000000" w:rsidR="00000000" w:rsidRPr="00000000">
          <w:rPr>
            <w:color w:val="232323"/>
            <w:sz w:val="24"/>
            <w:szCs w:val="24"/>
            <w:rtl w:val="0"/>
          </w:rPr>
          <w:t xml:space="preserve"> </w:t>
        </w:r>
      </w:hyperlink>
      <w:hyperlink r:id="rId61">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B">
      <w:pPr>
        <w:spacing w:line="390" w:lineRule="auto"/>
        <w:rPr>
          <w:color w:val="232323"/>
          <w:sz w:val="24"/>
          <w:szCs w:val="24"/>
        </w:rPr>
      </w:pPr>
      <w:r w:rsidDel="00000000" w:rsidR="00000000" w:rsidRPr="00000000">
        <w:rPr>
          <w:rtl w:val="0"/>
        </w:rPr>
      </w:r>
    </w:p>
    <w:p w:rsidR="00000000" w:rsidDel="00000000" w:rsidP="00000000" w:rsidRDefault="00000000" w:rsidRPr="00000000" w14:paraId="0000002C">
      <w:pPr>
        <w:spacing w:line="390" w:lineRule="auto"/>
        <w:rPr>
          <w:color w:val="232323"/>
          <w:sz w:val="24"/>
          <w:szCs w:val="24"/>
        </w:rPr>
      </w:pPr>
      <w:r w:rsidDel="00000000" w:rsidR="00000000" w:rsidRPr="00000000">
        <w:rPr>
          <w:color w:val="232323"/>
          <w:sz w:val="24"/>
          <w:szCs w:val="24"/>
          <w:rtl w:val="0"/>
        </w:rPr>
        <w:t xml:space="preserve">For most patients with uric acid levels between 7 and 8 mg/dL (416 to 476 micromol/L), further evaluation or treatment is generally not pursued unless the level rises above 8 mg/dL on repeat testing</w:t>
      </w:r>
      <w:hyperlink r:id="rId62">
        <w:r w:rsidDel="00000000" w:rsidR="00000000" w:rsidRPr="00000000">
          <w:rPr>
            <w:color w:val="232323"/>
            <w:sz w:val="24"/>
            <w:szCs w:val="24"/>
            <w:rtl w:val="0"/>
          </w:rPr>
          <w:t xml:space="preserve"> </w:t>
        </w:r>
      </w:hyperlink>
      <w:hyperlink r:id="rId63">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 Nonpharmacologic measures (weight reduction, dietary changes, avoidance of alcohol and sugar-sweetened beverages, and regular exercise) are recommended for all patients with persistent asymptomatic hyperuricemia</w:t>
      </w:r>
      <w:hyperlink r:id="rId64">
        <w:r w:rsidDel="00000000" w:rsidR="00000000" w:rsidRPr="00000000">
          <w:rPr>
            <w:color w:val="232323"/>
            <w:sz w:val="24"/>
            <w:szCs w:val="24"/>
            <w:rtl w:val="0"/>
          </w:rPr>
          <w:t xml:space="preserve"> </w:t>
        </w:r>
      </w:hyperlink>
      <w:hyperlink r:id="rId65">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D">
      <w:pPr>
        <w:spacing w:line="390" w:lineRule="auto"/>
        <w:rPr>
          <w:color w:val="232323"/>
          <w:sz w:val="24"/>
          <w:szCs w:val="24"/>
        </w:rPr>
      </w:pPr>
      <w:r w:rsidDel="00000000" w:rsidR="00000000" w:rsidRPr="00000000">
        <w:rPr>
          <w:color w:val="232323"/>
          <w:sz w:val="24"/>
          <w:szCs w:val="24"/>
          <w:rtl w:val="0"/>
        </w:rPr>
        <w:t xml:space="preserve">Pharmacologic urate-lowering therapy is reserved for:</w:t>
      </w:r>
    </w:p>
    <w:p w:rsidR="00000000" w:rsidDel="00000000" w:rsidP="00000000" w:rsidRDefault="00000000" w:rsidRPr="00000000" w14:paraId="0000002E">
      <w:pPr>
        <w:numPr>
          <w:ilvl w:val="0"/>
          <w:numId w:val="8"/>
        </w:numPr>
        <w:spacing w:after="0" w:afterAutospacing="0" w:before="220" w:line="390" w:lineRule="auto"/>
        <w:ind w:left="720" w:hanging="360"/>
        <w:rPr>
          <w:sz w:val="24"/>
          <w:szCs w:val="24"/>
        </w:rPr>
      </w:pPr>
      <w:r w:rsidDel="00000000" w:rsidR="00000000" w:rsidRPr="00000000">
        <w:rPr>
          <w:color w:val="232323"/>
          <w:sz w:val="24"/>
          <w:szCs w:val="24"/>
          <w:rtl w:val="0"/>
        </w:rPr>
        <w:t xml:space="preserve">Patients with gout, tophi, or uric acid nephrolithiasis </w:t>
      </w:r>
      <w:hyperlink r:id="rId66">
        <w:r w:rsidDel="00000000" w:rsidR="00000000" w:rsidRPr="00000000">
          <w:rPr>
            <w:color w:val="1155cc"/>
            <w:sz w:val="24"/>
            <w:szCs w:val="24"/>
            <w:rtl w:val="0"/>
          </w:rPr>
          <w:t xml:space="preserve">[7]</w:t>
        </w:r>
      </w:hyperlink>
      <w:hyperlink r:id="rId67">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Patients with sustained marked hyperuricemia (&gt;13 mg/dL) due to specific underlying conditions </w:t>
      </w:r>
      <w:hyperlink r:id="rId68">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8"/>
        </w:numPr>
        <w:spacing w:after="240" w:before="0" w:beforeAutospacing="0" w:line="390" w:lineRule="auto"/>
        <w:ind w:left="720" w:hanging="360"/>
        <w:rPr>
          <w:sz w:val="24"/>
          <w:szCs w:val="24"/>
        </w:rPr>
      </w:pPr>
      <w:r w:rsidDel="00000000" w:rsidR="00000000" w:rsidRPr="00000000">
        <w:rPr>
          <w:color w:val="232323"/>
          <w:sz w:val="24"/>
          <w:szCs w:val="24"/>
          <w:rtl w:val="0"/>
        </w:rPr>
        <w:t xml:space="preserve">Patients with recurrent uric acid urolithiasis despite adequate hydration and alkalinization </w:t>
      </w:r>
      <w:hyperlink r:id="rId69">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31">
      <w:pPr>
        <w:spacing w:line="390" w:lineRule="auto"/>
        <w:rPr>
          <w:color w:val="232323"/>
          <w:sz w:val="24"/>
          <w:szCs w:val="24"/>
        </w:rPr>
      </w:pPr>
      <w:r w:rsidDel="00000000" w:rsidR="00000000" w:rsidRPr="00000000">
        <w:rPr>
          <w:color w:val="232323"/>
          <w:sz w:val="24"/>
          <w:szCs w:val="24"/>
          <w:rtl w:val="0"/>
        </w:rPr>
        <w:t xml:space="preserve">There is no consensus for treating hyperuricemia with medications in certain genetic conditions (e.g., glucose-6-phosphatase deficiency), but</w:t>
      </w:r>
      <w:hyperlink r:id="rId70">
        <w:r w:rsidDel="00000000" w:rsidR="00000000" w:rsidRPr="00000000">
          <w:rPr>
            <w:color w:val="232323"/>
            <w:sz w:val="24"/>
            <w:szCs w:val="24"/>
            <w:rtl w:val="0"/>
          </w:rPr>
          <w:t xml:space="preserve"> </w:t>
        </w:r>
      </w:hyperlink>
      <w:hyperlink r:id="rId71">
        <w:r w:rsidDel="00000000" w:rsidR="00000000" w:rsidRPr="00000000">
          <w:rPr>
            <w:color w:val="1155cc"/>
            <w:sz w:val="24"/>
            <w:szCs w:val="24"/>
            <w:rtl w:val="0"/>
          </w:rPr>
          <w:t xml:space="preserve">allopurinol</w:t>
        </w:r>
      </w:hyperlink>
      <w:r w:rsidDel="00000000" w:rsidR="00000000" w:rsidRPr="00000000">
        <w:rPr>
          <w:color w:val="232323"/>
          <w:sz w:val="24"/>
          <w:szCs w:val="24"/>
          <w:rtl w:val="0"/>
        </w:rPr>
        <w:t xml:space="preserve"> may be used in patients with persistently elevated uric acid or recurrent gout</w:t>
      </w:r>
      <w:hyperlink r:id="rId72">
        <w:r w:rsidDel="00000000" w:rsidR="00000000" w:rsidRPr="00000000">
          <w:rPr>
            <w:color w:val="232323"/>
            <w:sz w:val="24"/>
            <w:szCs w:val="24"/>
            <w:rtl w:val="0"/>
          </w:rPr>
          <w:t xml:space="preserve"> </w:t>
        </w:r>
      </w:hyperlink>
      <w:hyperlink r:id="rId73">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2">
      <w:pPr>
        <w:pStyle w:val="Heading3"/>
        <w:keepNext w:val="0"/>
        <w:keepLines w:val="0"/>
        <w:spacing w:after="40" w:before="460" w:line="346.66666666666663" w:lineRule="auto"/>
        <w:rPr>
          <w:b w:val="1"/>
          <w:bCs w:val="1"/>
          <w:color w:val="232323"/>
          <w:sz w:val="27"/>
          <w:szCs w:val="27"/>
        </w:rPr>
      </w:pPr>
      <w:bookmarkStart w:colFirst="0" w:colLast="0" w:name="_g4gu7pt5b4bd" w:id="6"/>
      <w:bookmarkEnd w:id="6"/>
      <w:r w:rsidDel="00000000" w:rsidR="00000000" w:rsidRPr="00000000">
        <w:rPr>
          <w:b w:val="1"/>
          <w:bCs w:val="1"/>
          <w:color w:val="232323"/>
          <w:sz w:val="27"/>
          <w:szCs w:val="27"/>
          <w:rtl w:val="0"/>
        </w:rPr>
        <w:t xml:space="preserve">Key Points</w:t>
      </w:r>
    </w:p>
    <w:p w:rsidR="00000000" w:rsidDel="00000000" w:rsidP="00000000" w:rsidRDefault="00000000" w:rsidRPr="00000000" w14:paraId="00000033">
      <w:pPr>
        <w:numPr>
          <w:ilvl w:val="0"/>
          <w:numId w:val="10"/>
        </w:numPr>
        <w:spacing w:after="0" w:afterAutospacing="0" w:before="220" w:line="390" w:lineRule="auto"/>
        <w:ind w:left="720" w:hanging="360"/>
        <w:rPr>
          <w:sz w:val="24"/>
          <w:szCs w:val="24"/>
        </w:rPr>
      </w:pPr>
      <w:r w:rsidDel="00000000" w:rsidR="00000000" w:rsidRPr="00000000">
        <w:rPr>
          <w:color w:val="232323"/>
          <w:sz w:val="24"/>
          <w:szCs w:val="24"/>
          <w:rtl w:val="0"/>
        </w:rPr>
        <w:t xml:space="preserve">Pharmacologic urate-lowering therapy is generally not recommended for asymptomatic hyperuricemia unless there are specific risk factors or associated conditions </w:t>
      </w:r>
      <w:hyperlink r:id="rId74">
        <w:r w:rsidDel="00000000" w:rsidR="00000000" w:rsidRPr="00000000">
          <w:rPr>
            <w:color w:val="1155cc"/>
            <w:sz w:val="24"/>
            <w:szCs w:val="24"/>
            <w:rtl w:val="0"/>
          </w:rPr>
          <w:t xml:space="preserve">[1]</w:t>
        </w:r>
      </w:hyperlink>
      <w:hyperlink r:id="rId75">
        <w:r w:rsidDel="00000000" w:rsidR="00000000" w:rsidRPr="00000000">
          <w:rPr>
            <w:color w:val="1155cc"/>
            <w:sz w:val="24"/>
            <w:szCs w:val="24"/>
            <w:rtl w:val="0"/>
          </w:rPr>
          <w:t xml:space="preserve">[3]</w:t>
        </w:r>
      </w:hyperlink>
      <w:hyperlink r:id="rId76">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10"/>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Nonpharmacologic measures are recommended for all patients with persistent asymptomatic hyperuricemia </w:t>
      </w:r>
      <w:hyperlink r:id="rId7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5">
      <w:pPr>
        <w:numPr>
          <w:ilvl w:val="0"/>
          <w:numId w:val="10"/>
        </w:numPr>
        <w:spacing w:after="240" w:before="0" w:beforeAutospacing="0" w:line="390" w:lineRule="auto"/>
        <w:ind w:left="720" w:hanging="360"/>
        <w:rPr>
          <w:sz w:val="24"/>
          <w:szCs w:val="24"/>
        </w:rPr>
      </w:pPr>
      <w:r w:rsidDel="00000000" w:rsidR="00000000" w:rsidRPr="00000000">
        <w:rPr>
          <w:color w:val="232323"/>
          <w:sz w:val="24"/>
          <w:szCs w:val="24"/>
          <w:rtl w:val="0"/>
        </w:rPr>
        <w:t xml:space="preserve">Marked hyperuricemia (&gt;13 mg/dL) or evidence of urate crystal deposition may warrant pharmacologic therapy </w:t>
      </w:r>
      <w:hyperlink r:id="rId78">
        <w:r w:rsidDel="00000000" w:rsidR="00000000" w:rsidRPr="00000000">
          <w:rPr>
            <w:color w:val="1155cc"/>
            <w:sz w:val="24"/>
            <w:szCs w:val="24"/>
            <w:rtl w:val="0"/>
          </w:rPr>
          <w:t xml:space="preserve">[2]</w:t>
        </w:r>
      </w:hyperlink>
      <w:hyperlink r:id="rId79">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36">
      <w:pPr>
        <w:pStyle w:val="Heading3"/>
        <w:keepNext w:val="0"/>
        <w:keepLines w:val="0"/>
        <w:spacing w:after="40" w:before="460" w:line="346.66666666666663" w:lineRule="auto"/>
        <w:rPr>
          <w:b w:val="1"/>
          <w:bCs w:val="1"/>
          <w:color w:val="232323"/>
          <w:sz w:val="27"/>
          <w:szCs w:val="27"/>
        </w:rPr>
      </w:pPr>
      <w:bookmarkStart w:colFirst="0" w:colLast="0" w:name="_j5ml0mys7a8d" w:id="7"/>
      <w:bookmarkEnd w:id="7"/>
      <w:r w:rsidDel="00000000" w:rsidR="00000000" w:rsidRPr="00000000">
        <w:rPr>
          <w:b w:val="1"/>
          <w:bCs w:val="1"/>
          <w:color w:val="232323"/>
          <w:sz w:val="27"/>
          <w:szCs w:val="27"/>
          <w:rtl w:val="0"/>
        </w:rPr>
        <w:t xml:space="preserve">Learn More</w:t>
      </w:r>
    </w:p>
    <w:p w:rsidR="00000000" w:rsidDel="00000000" w:rsidP="00000000" w:rsidRDefault="00000000" w:rsidRPr="00000000" w14:paraId="00000037">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8">
      <w:pPr>
        <w:numPr>
          <w:ilvl w:val="0"/>
          <w:numId w:val="12"/>
        </w:numPr>
        <w:spacing w:after="0" w:afterAutospacing="0" w:before="220" w:line="390" w:lineRule="auto"/>
        <w:ind w:left="720" w:hanging="360"/>
      </w:pPr>
      <w:hyperlink r:id="rId80">
        <w:r w:rsidDel="00000000" w:rsidR="00000000" w:rsidRPr="00000000">
          <w:rPr>
            <w:color w:val="1155cc"/>
            <w:sz w:val="24"/>
            <w:szCs w:val="24"/>
            <w:rtl w:val="0"/>
          </w:rPr>
          <w:t xml:space="preserve">What is the patient's actual uric acid level and clinical context?</w:t>
        </w:r>
      </w:hyperlink>
      <w:r w:rsidDel="00000000" w:rsidR="00000000" w:rsidRPr="00000000">
        <w:rPr>
          <w:rtl w:val="0"/>
        </w:rPr>
      </w:r>
    </w:p>
    <w:p w:rsidR="00000000" w:rsidDel="00000000" w:rsidP="00000000" w:rsidRDefault="00000000" w:rsidRPr="00000000" w14:paraId="00000039">
      <w:pPr>
        <w:numPr>
          <w:ilvl w:val="0"/>
          <w:numId w:val="12"/>
        </w:numPr>
        <w:spacing w:after="0" w:afterAutospacing="0" w:before="0" w:beforeAutospacing="0" w:line="390" w:lineRule="auto"/>
        <w:ind w:left="720" w:hanging="360"/>
      </w:pPr>
      <w:hyperlink r:id="rId81">
        <w:r w:rsidDel="00000000" w:rsidR="00000000" w:rsidRPr="00000000">
          <w:rPr>
            <w:color w:val="1155cc"/>
            <w:sz w:val="24"/>
            <w:szCs w:val="24"/>
            <w:rtl w:val="0"/>
          </w:rPr>
          <w:t xml:space="preserve">When should uric acid be rechecked or further evaluated?</w:t>
        </w:r>
      </w:hyperlink>
      <w:r w:rsidDel="00000000" w:rsidR="00000000" w:rsidRPr="00000000">
        <w:rPr>
          <w:rtl w:val="0"/>
        </w:rPr>
      </w:r>
    </w:p>
    <w:p w:rsidR="00000000" w:rsidDel="00000000" w:rsidP="00000000" w:rsidRDefault="00000000" w:rsidRPr="00000000" w14:paraId="0000003A">
      <w:pPr>
        <w:numPr>
          <w:ilvl w:val="0"/>
          <w:numId w:val="12"/>
        </w:numPr>
        <w:spacing w:after="0" w:afterAutospacing="0" w:before="0" w:beforeAutospacing="0" w:line="390" w:lineRule="auto"/>
        <w:ind w:left="720" w:hanging="360"/>
      </w:pPr>
      <w:hyperlink r:id="rId82">
        <w:r w:rsidDel="00000000" w:rsidR="00000000" w:rsidRPr="00000000">
          <w:rPr>
            <w:color w:val="1155cc"/>
            <w:sz w:val="24"/>
            <w:szCs w:val="24"/>
            <w:rtl w:val="0"/>
          </w:rPr>
          <w:t xml:space="preserve">What are the indications for urate-lowering therapy in patients with gout or nephrolithiasis?</w:t>
        </w:r>
      </w:hyperlink>
      <w:r w:rsidDel="00000000" w:rsidR="00000000" w:rsidRPr="00000000">
        <w:rPr>
          <w:rtl w:val="0"/>
        </w:rPr>
      </w:r>
    </w:p>
    <w:p w:rsidR="00000000" w:rsidDel="00000000" w:rsidP="00000000" w:rsidRDefault="00000000" w:rsidRPr="00000000" w14:paraId="0000003B">
      <w:pPr>
        <w:numPr>
          <w:ilvl w:val="0"/>
          <w:numId w:val="12"/>
        </w:numPr>
        <w:spacing w:after="0" w:afterAutospacing="0" w:before="0" w:beforeAutospacing="0" w:line="390" w:lineRule="auto"/>
        <w:ind w:left="720" w:hanging="360"/>
      </w:pPr>
      <w:hyperlink r:id="rId83">
        <w:r w:rsidDel="00000000" w:rsidR="00000000" w:rsidRPr="00000000">
          <w:rPr>
            <w:color w:val="1155cc"/>
            <w:sz w:val="24"/>
            <w:szCs w:val="24"/>
            <w:rtl w:val="0"/>
          </w:rPr>
          <w:t xml:space="preserve">What nonpharmacologic interventions are most effective for lowering uric acid?</w:t>
        </w:r>
      </w:hyperlink>
      <w:r w:rsidDel="00000000" w:rsidR="00000000" w:rsidRPr="00000000">
        <w:rPr>
          <w:rtl w:val="0"/>
        </w:rPr>
      </w:r>
    </w:p>
    <w:p w:rsidR="00000000" w:rsidDel="00000000" w:rsidP="00000000" w:rsidRDefault="00000000" w:rsidRPr="00000000" w14:paraId="0000003C">
      <w:pPr>
        <w:numPr>
          <w:ilvl w:val="0"/>
          <w:numId w:val="12"/>
        </w:numPr>
        <w:spacing w:after="0" w:afterAutospacing="0" w:before="0" w:beforeAutospacing="0" w:line="390" w:lineRule="auto"/>
        <w:ind w:left="720" w:hanging="360"/>
      </w:pPr>
      <w:hyperlink r:id="rId84">
        <w:r w:rsidDel="00000000" w:rsidR="00000000" w:rsidRPr="00000000">
          <w:rPr>
            <w:color w:val="1155cc"/>
            <w:sz w:val="24"/>
            <w:szCs w:val="24"/>
            <w:rtl w:val="0"/>
          </w:rPr>
          <w:t xml:space="preserve">How should hyperuricemia be managed in patients with chronic kidney disease or other comorbidities?</w:t>
        </w:r>
      </w:hyperlink>
      <w:r w:rsidDel="00000000" w:rsidR="00000000" w:rsidRPr="00000000">
        <w:rPr>
          <w:rtl w:val="0"/>
        </w:rPr>
      </w:r>
    </w:p>
    <w:p w:rsidR="00000000" w:rsidDel="00000000" w:rsidP="00000000" w:rsidRDefault="00000000" w:rsidRPr="00000000" w14:paraId="0000003D">
      <w:pPr>
        <w:numPr>
          <w:ilvl w:val="0"/>
          <w:numId w:val="12"/>
        </w:numPr>
        <w:spacing w:after="0" w:afterAutospacing="0" w:before="0" w:beforeAutospacing="0" w:line="390" w:lineRule="auto"/>
        <w:ind w:left="720" w:hanging="360"/>
      </w:pPr>
      <w:hyperlink r:id="rId85">
        <w:r w:rsidDel="00000000" w:rsidR="00000000" w:rsidRPr="00000000">
          <w:rPr>
            <w:color w:val="1155cc"/>
            <w:sz w:val="24"/>
            <w:szCs w:val="24"/>
            <w:rtl w:val="0"/>
          </w:rPr>
          <w:t xml:space="preserve">What are the risks and benefits of urate-lowering medications?</w:t>
        </w:r>
      </w:hyperlink>
      <w:r w:rsidDel="00000000" w:rsidR="00000000" w:rsidRPr="00000000">
        <w:rPr>
          <w:rtl w:val="0"/>
        </w:rPr>
      </w:r>
    </w:p>
    <w:p w:rsidR="00000000" w:rsidDel="00000000" w:rsidP="00000000" w:rsidRDefault="00000000" w:rsidRPr="00000000" w14:paraId="0000003E">
      <w:pPr>
        <w:numPr>
          <w:ilvl w:val="0"/>
          <w:numId w:val="12"/>
        </w:numPr>
        <w:spacing w:after="240" w:before="0" w:beforeAutospacing="0" w:line="390" w:lineRule="auto"/>
        <w:ind w:left="720" w:hanging="360"/>
      </w:pPr>
      <w:hyperlink r:id="rId86">
        <w:r w:rsidDel="00000000" w:rsidR="00000000" w:rsidRPr="00000000">
          <w:rPr>
            <w:color w:val="1155cc"/>
            <w:sz w:val="24"/>
            <w:szCs w:val="24"/>
            <w:rtl w:val="0"/>
          </w:rPr>
          <w:t xml:space="preserve">How do you evaluate for underlying causes of hyperuricemia?</w:t>
        </w:r>
      </w:hyperlink>
      <w:r w:rsidDel="00000000" w:rsidR="00000000" w:rsidRPr="00000000">
        <w:rPr>
          <w:rtl w:val="0"/>
        </w:rPr>
      </w:r>
    </w:p>
    <w:p w:rsidR="00000000" w:rsidDel="00000000" w:rsidP="00000000" w:rsidRDefault="00000000" w:rsidRPr="00000000" w14:paraId="0000003F">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particular uric acid value or clinical scenario.</w:t>
      </w:r>
    </w:p>
    <w:p w:rsidR="00000000" w:rsidDel="00000000" w:rsidP="00000000" w:rsidRDefault="00000000" w:rsidRPr="00000000" w14:paraId="00000040">
      <w:pPr>
        <w:pStyle w:val="Heading3"/>
        <w:keepNext w:val="0"/>
        <w:keepLines w:val="0"/>
        <w:spacing w:after="40" w:before="460" w:line="346.66666666666663" w:lineRule="auto"/>
        <w:rPr>
          <w:b w:val="1"/>
          <w:bCs w:val="1"/>
          <w:color w:val="232323"/>
          <w:sz w:val="27"/>
          <w:szCs w:val="27"/>
        </w:rPr>
      </w:pPr>
      <w:bookmarkStart w:colFirst="0" w:colLast="0" w:name="_v5qj2wf8ao0f" w:id="8"/>
      <w:bookmarkEnd w:id="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1">
      <w:pPr>
        <w:numPr>
          <w:ilvl w:val="0"/>
          <w:numId w:val="11"/>
        </w:numPr>
        <w:spacing w:after="0" w:afterAutospacing="0" w:before="240" w:lineRule="auto"/>
        <w:ind w:left="720" w:hanging="360"/>
      </w:pPr>
      <w:hyperlink r:id="rId87">
        <w:r w:rsidDel="00000000" w:rsidR="00000000" w:rsidRPr="00000000">
          <w:rPr>
            <w:color w:val="1155cc"/>
            <w:sz w:val="24"/>
            <w:szCs w:val="24"/>
            <w:rtl w:val="0"/>
          </w:rPr>
          <w:t xml:space="preserve">Asymptomatic hyperuricemia &gt; SUMMARY AND RECOMMENDATIONS</w:t>
        </w:r>
      </w:hyperlink>
      <w:r w:rsidDel="00000000" w:rsidR="00000000" w:rsidRPr="00000000">
        <w:rPr>
          <w:rtl w:val="0"/>
        </w:rPr>
      </w:r>
    </w:p>
    <w:p w:rsidR="00000000" w:rsidDel="00000000" w:rsidP="00000000" w:rsidRDefault="00000000" w:rsidRPr="00000000" w14:paraId="00000042">
      <w:pPr>
        <w:numPr>
          <w:ilvl w:val="0"/>
          <w:numId w:val="11"/>
        </w:numPr>
        <w:spacing w:after="0" w:afterAutospacing="0" w:before="0" w:beforeAutospacing="0" w:lineRule="auto"/>
        <w:ind w:left="720" w:hanging="360"/>
      </w:pPr>
      <w:hyperlink r:id="rId88">
        <w:r w:rsidDel="00000000" w:rsidR="00000000" w:rsidRPr="00000000">
          <w:rPr>
            <w:color w:val="1155cc"/>
            <w:sz w:val="24"/>
            <w:szCs w:val="24"/>
            <w:rtl w:val="0"/>
          </w:rPr>
          <w:t xml:space="preserve">Asymptomatic hyperuricemia &gt; MANAGEMENT &gt; Sustained marked hyperuricemia</w:t>
        </w:r>
      </w:hyperlink>
      <w:r w:rsidDel="00000000" w:rsidR="00000000" w:rsidRPr="00000000">
        <w:rPr>
          <w:rtl w:val="0"/>
        </w:rPr>
      </w:r>
    </w:p>
    <w:p w:rsidR="00000000" w:rsidDel="00000000" w:rsidP="00000000" w:rsidRDefault="00000000" w:rsidRPr="00000000" w14:paraId="00000043">
      <w:pPr>
        <w:numPr>
          <w:ilvl w:val="0"/>
          <w:numId w:val="11"/>
        </w:numPr>
        <w:spacing w:after="0" w:afterAutospacing="0" w:before="0" w:beforeAutospacing="0" w:lineRule="auto"/>
        <w:ind w:left="720" w:hanging="360"/>
      </w:pPr>
      <w:hyperlink r:id="rId89">
        <w:r w:rsidDel="00000000" w:rsidR="00000000" w:rsidRPr="00000000">
          <w:rPr>
            <w:color w:val="1155cc"/>
            <w:sz w:val="24"/>
            <w:szCs w:val="24"/>
            <w:rtl w:val="0"/>
          </w:rPr>
          <w:t xml:space="preserve">Asymptomatic hyperuricemia &gt; MANAGEMENT &gt; General measures</w:t>
        </w:r>
      </w:hyperlink>
      <w:r w:rsidDel="00000000" w:rsidR="00000000" w:rsidRPr="00000000">
        <w:rPr>
          <w:rtl w:val="0"/>
        </w:rPr>
      </w:r>
    </w:p>
    <w:p w:rsidR="00000000" w:rsidDel="00000000" w:rsidP="00000000" w:rsidRDefault="00000000" w:rsidRPr="00000000" w14:paraId="00000044">
      <w:pPr>
        <w:numPr>
          <w:ilvl w:val="0"/>
          <w:numId w:val="11"/>
        </w:numPr>
        <w:spacing w:after="0" w:afterAutospacing="0" w:before="0" w:beforeAutospacing="0" w:lineRule="auto"/>
        <w:ind w:left="720" w:hanging="360"/>
      </w:pPr>
      <w:hyperlink r:id="rId90">
        <w:r w:rsidDel="00000000" w:rsidR="00000000" w:rsidRPr="00000000">
          <w:rPr>
            <w:color w:val="1155cc"/>
            <w:sz w:val="24"/>
            <w:szCs w:val="24"/>
            <w:rtl w:val="0"/>
          </w:rPr>
          <w:t xml:space="preserve">Asymptomatic hyperuricemia &gt; MANAGEMENT</w:t>
        </w:r>
      </w:hyperlink>
      <w:r w:rsidDel="00000000" w:rsidR="00000000" w:rsidRPr="00000000">
        <w:rPr>
          <w:rtl w:val="0"/>
        </w:rPr>
      </w:r>
    </w:p>
    <w:p w:rsidR="00000000" w:rsidDel="00000000" w:rsidP="00000000" w:rsidRDefault="00000000" w:rsidRPr="00000000" w14:paraId="00000045">
      <w:pPr>
        <w:numPr>
          <w:ilvl w:val="0"/>
          <w:numId w:val="11"/>
        </w:numPr>
        <w:spacing w:after="0" w:afterAutospacing="0" w:before="0" w:beforeAutospacing="0" w:lineRule="auto"/>
        <w:ind w:left="720" w:hanging="360"/>
      </w:pPr>
      <w:hyperlink r:id="rId91">
        <w:r w:rsidDel="00000000" w:rsidR="00000000" w:rsidRPr="00000000">
          <w:rPr>
            <w:color w:val="1155cc"/>
            <w:sz w:val="24"/>
            <w:szCs w:val="24"/>
            <w:rtl w:val="0"/>
          </w:rPr>
          <w:t xml:space="preserve">Asymptomatic hyperuricemia &gt; MANAGEMENT &gt; Marked asymptomatic hyperuricosuria</w:t>
        </w:r>
      </w:hyperlink>
      <w:r w:rsidDel="00000000" w:rsidR="00000000" w:rsidRPr="00000000">
        <w:rPr>
          <w:rtl w:val="0"/>
        </w:rPr>
      </w:r>
    </w:p>
    <w:p w:rsidR="00000000" w:rsidDel="00000000" w:rsidP="00000000" w:rsidRDefault="00000000" w:rsidRPr="00000000" w14:paraId="00000046">
      <w:pPr>
        <w:numPr>
          <w:ilvl w:val="0"/>
          <w:numId w:val="11"/>
        </w:numPr>
        <w:spacing w:after="0" w:afterAutospacing="0" w:before="0" w:beforeAutospacing="0" w:lineRule="auto"/>
        <w:ind w:left="720" w:hanging="360"/>
      </w:pPr>
      <w:hyperlink r:id="rId92">
        <w:r w:rsidDel="00000000" w:rsidR="00000000" w:rsidRPr="00000000">
          <w:rPr>
            <w:color w:val="1155cc"/>
            <w:sz w:val="24"/>
            <w:szCs w:val="24"/>
            <w:rtl w:val="0"/>
          </w:rPr>
          <w:t xml:space="preserve">Asymptomatic hyperuricemia &gt; EVALUATION &gt; When to evaluate</w:t>
        </w:r>
      </w:hyperlink>
      <w:r w:rsidDel="00000000" w:rsidR="00000000" w:rsidRPr="00000000">
        <w:rPr>
          <w:rtl w:val="0"/>
        </w:rPr>
      </w:r>
    </w:p>
    <w:p w:rsidR="00000000" w:rsidDel="00000000" w:rsidP="00000000" w:rsidRDefault="00000000" w:rsidRPr="00000000" w14:paraId="00000047">
      <w:pPr>
        <w:numPr>
          <w:ilvl w:val="0"/>
          <w:numId w:val="11"/>
        </w:numPr>
        <w:spacing w:after="0" w:afterAutospacing="0" w:before="0" w:beforeAutospacing="0" w:lineRule="auto"/>
        <w:ind w:left="720" w:hanging="360"/>
      </w:pPr>
      <w:hyperlink r:id="rId93">
        <w:r w:rsidDel="00000000" w:rsidR="00000000" w:rsidRPr="00000000">
          <w:rPr>
            <w:color w:val="1155cc"/>
            <w:sz w:val="24"/>
            <w:szCs w:val="24"/>
            <w:rtl w:val="0"/>
          </w:rPr>
          <w:t xml:space="preserve">Gout: Pharmacologic urate-lowering therapy and treatment of tophi &gt; APPROACH TO DRUG THERAPY &gt; Indications</w:t>
        </w:r>
      </w:hyperlink>
      <w:r w:rsidDel="00000000" w:rsidR="00000000" w:rsidRPr="00000000">
        <w:rPr>
          <w:rtl w:val="0"/>
        </w:rPr>
      </w:r>
    </w:p>
    <w:p w:rsidR="00000000" w:rsidDel="00000000" w:rsidP="00000000" w:rsidRDefault="00000000" w:rsidRPr="00000000" w14:paraId="00000048">
      <w:pPr>
        <w:numPr>
          <w:ilvl w:val="0"/>
          <w:numId w:val="11"/>
        </w:numPr>
        <w:spacing w:after="0" w:afterAutospacing="0" w:before="0" w:beforeAutospacing="0" w:lineRule="auto"/>
        <w:ind w:left="720" w:hanging="360"/>
      </w:pPr>
      <w:hyperlink r:id="rId94">
        <w:r w:rsidDel="00000000" w:rsidR="00000000" w:rsidRPr="00000000">
          <w:rPr>
            <w:color w:val="1155cc"/>
            <w:sz w:val="24"/>
            <w:szCs w:val="24"/>
            <w:rtl w:val="0"/>
          </w:rPr>
          <w:t xml:space="preserve">Gout: Pharmacologic urate-lowering therapy and treatment of tophi &gt; SUMMARY AND RECOMMENDATIONS</w:t>
        </w:r>
      </w:hyperlink>
      <w:r w:rsidDel="00000000" w:rsidR="00000000" w:rsidRPr="00000000">
        <w:rPr>
          <w:rtl w:val="0"/>
        </w:rPr>
      </w:r>
    </w:p>
    <w:p w:rsidR="00000000" w:rsidDel="00000000" w:rsidP="00000000" w:rsidRDefault="00000000" w:rsidRPr="00000000" w14:paraId="00000049">
      <w:pPr>
        <w:numPr>
          <w:ilvl w:val="0"/>
          <w:numId w:val="11"/>
        </w:numPr>
        <w:spacing w:after="0" w:afterAutospacing="0" w:before="0" w:beforeAutospacing="0" w:lineRule="auto"/>
        <w:ind w:left="720" w:hanging="360"/>
      </w:pPr>
      <w:hyperlink r:id="rId95">
        <w:r w:rsidDel="00000000" w:rsidR="00000000" w:rsidRPr="00000000">
          <w:rPr>
            <w:color w:val="1155cc"/>
            <w:sz w:val="24"/>
            <w:szCs w:val="24"/>
            <w:rtl w:val="0"/>
          </w:rPr>
          <w:t xml:space="preserve">Asymptomatic hyperuricemia &gt; MANAGEMENT &gt; Recurrent uric acid urolithiasis</w:t>
        </w:r>
      </w:hyperlink>
      <w:r w:rsidDel="00000000" w:rsidR="00000000" w:rsidRPr="00000000">
        <w:rPr>
          <w:rtl w:val="0"/>
        </w:rPr>
      </w:r>
    </w:p>
    <w:p w:rsidR="00000000" w:rsidDel="00000000" w:rsidP="00000000" w:rsidRDefault="00000000" w:rsidRPr="00000000" w14:paraId="0000004A">
      <w:pPr>
        <w:numPr>
          <w:ilvl w:val="0"/>
          <w:numId w:val="11"/>
        </w:numPr>
        <w:spacing w:after="240" w:before="0" w:beforeAutospacing="0" w:lineRule="auto"/>
        <w:ind w:left="720" w:hanging="360"/>
      </w:pPr>
      <w:hyperlink r:id="rId96">
        <w:r w:rsidDel="00000000" w:rsidR="00000000" w:rsidRPr="00000000">
          <w:rPr>
            <w:color w:val="1155cc"/>
            <w:sz w:val="24"/>
            <w:szCs w:val="24"/>
            <w:rtl w:val="0"/>
          </w:rPr>
          <w:t xml:space="preserve">Glucose-6-phosphatase deficiency (glycogen storage disease I, von Gierke disease) &gt; MANAGEMENT &gt; Treatment of hyperuricemia</w:t>
        </w:r>
      </w:hyperlink>
      <w:r w:rsidDel="00000000" w:rsidR="00000000" w:rsidRPr="00000000">
        <w:rPr>
          <w:rtl w:val="0"/>
        </w:rPr>
      </w:r>
    </w:p>
    <w:p w:rsidR="00000000" w:rsidDel="00000000" w:rsidP="00000000" w:rsidRDefault="00000000" w:rsidRPr="00000000" w14:paraId="000000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608zbnigio1"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91</w:t>
      </w:r>
      <w:r w:rsidDel="00000000" w:rsidR="00000000" w:rsidRPr="00000000">
        <w:rPr>
          <w:rtl w:val="0"/>
        </w:rPr>
      </w:r>
    </w:p>
    <w:p w:rsidR="00000000" w:rsidDel="00000000" w:rsidP="00000000" w:rsidRDefault="00000000" w:rsidRPr="00000000" w14:paraId="0000004D">
      <w:pPr>
        <w:spacing w:line="390" w:lineRule="auto"/>
        <w:rPr>
          <w:color w:val="232323"/>
          <w:sz w:val="24"/>
          <w:szCs w:val="24"/>
        </w:rPr>
      </w:pPr>
      <w:r w:rsidDel="00000000" w:rsidR="00000000" w:rsidRPr="00000000">
        <w:rPr>
          <w:color w:val="232323"/>
          <w:sz w:val="24"/>
          <w:szCs w:val="24"/>
          <w:rtl w:val="0"/>
        </w:rPr>
        <w:t xml:space="preserve">ASSUMPTIONS: You are asking about the risk of bradycardia when combining</w:t>
      </w:r>
      <w:hyperlink r:id="rId97">
        <w:r w:rsidDel="00000000" w:rsidR="00000000" w:rsidRPr="00000000">
          <w:rPr>
            <w:color w:val="232323"/>
            <w:sz w:val="24"/>
            <w:szCs w:val="24"/>
            <w:rtl w:val="0"/>
          </w:rPr>
          <w:t xml:space="preserve"> </w:t>
        </w:r>
      </w:hyperlink>
      <w:hyperlink r:id="rId98">
        <w:r w:rsidDel="00000000" w:rsidR="00000000" w:rsidRPr="00000000">
          <w:rPr>
            <w:color w:val="1155cc"/>
            <w:sz w:val="24"/>
            <w:szCs w:val="24"/>
            <w:rtl w:val="0"/>
          </w:rPr>
          <w:t xml:space="preserve">nifedipine</w:t>
        </w:r>
      </w:hyperlink>
      <w:r w:rsidDel="00000000" w:rsidR="00000000" w:rsidRPr="00000000">
        <w:rPr>
          <w:color w:val="232323"/>
          <w:sz w:val="24"/>
          <w:szCs w:val="24"/>
          <w:rtl w:val="0"/>
        </w:rPr>
        <w:t xml:space="preserve"> (a dihydropyridine calcium channel blocker) and</w:t>
      </w:r>
      <w:hyperlink r:id="rId99">
        <w:r w:rsidDel="00000000" w:rsidR="00000000" w:rsidRPr="00000000">
          <w:rPr>
            <w:color w:val="232323"/>
            <w:sz w:val="24"/>
            <w:szCs w:val="24"/>
            <w:rtl w:val="0"/>
          </w:rPr>
          <w:t xml:space="preserve"> </w:t>
        </w:r>
      </w:hyperlink>
      <w:hyperlink r:id="rId100">
        <w:r w:rsidDel="00000000" w:rsidR="00000000" w:rsidRPr="00000000">
          <w:rPr>
            <w:color w:val="1155cc"/>
            <w:sz w:val="24"/>
            <w:szCs w:val="24"/>
            <w:rtl w:val="0"/>
          </w:rPr>
          <w:t xml:space="preserve">metoprolol</w:t>
        </w:r>
      </w:hyperlink>
      <w:r w:rsidDel="00000000" w:rsidR="00000000" w:rsidRPr="00000000">
        <w:rPr>
          <w:color w:val="232323"/>
          <w:sz w:val="24"/>
          <w:szCs w:val="24"/>
          <w:rtl w:val="0"/>
        </w:rPr>
        <w:t xml:space="preserve"> (a cardioselective beta blocker) in an adult patient. I am assuming the patient does not have underlying conduction system disease or heart failure unless otherwise specified.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line="390" w:lineRule="auto"/>
        <w:rPr>
          <w:color w:val="232323"/>
          <w:sz w:val="24"/>
          <w:szCs w:val="24"/>
        </w:rPr>
      </w:pPr>
      <w:r w:rsidDel="00000000" w:rsidR="00000000" w:rsidRPr="00000000">
        <w:rPr>
          <w:color w:val="232323"/>
          <w:sz w:val="24"/>
          <w:szCs w:val="24"/>
          <w:rtl w:val="0"/>
        </w:rPr>
        <w:t xml:space="preserve">The risk of bradycardia when combining</w:t>
      </w:r>
      <w:hyperlink r:id="rId101">
        <w:r w:rsidDel="00000000" w:rsidR="00000000" w:rsidRPr="00000000">
          <w:rPr>
            <w:color w:val="232323"/>
            <w:sz w:val="24"/>
            <w:szCs w:val="24"/>
            <w:rtl w:val="0"/>
          </w:rPr>
          <w:t xml:space="preserve"> </w:t>
        </w:r>
      </w:hyperlink>
      <w:hyperlink r:id="rId102">
        <w:r w:rsidDel="00000000" w:rsidR="00000000" w:rsidRPr="00000000">
          <w:rPr>
            <w:color w:val="1155cc"/>
            <w:sz w:val="24"/>
            <w:szCs w:val="24"/>
            <w:rtl w:val="0"/>
          </w:rPr>
          <w:t xml:space="preserve">nifedipine</w:t>
        </w:r>
      </w:hyperlink>
      <w:r w:rsidDel="00000000" w:rsidR="00000000" w:rsidRPr="00000000">
        <w:rPr>
          <w:color w:val="232323"/>
          <w:sz w:val="24"/>
          <w:szCs w:val="24"/>
          <w:rtl w:val="0"/>
        </w:rPr>
        <w:t xml:space="preserve"> and</w:t>
      </w:r>
      <w:hyperlink r:id="rId103">
        <w:r w:rsidDel="00000000" w:rsidR="00000000" w:rsidRPr="00000000">
          <w:rPr>
            <w:color w:val="232323"/>
            <w:sz w:val="24"/>
            <w:szCs w:val="24"/>
            <w:rtl w:val="0"/>
          </w:rPr>
          <w:t xml:space="preserve"> </w:t>
        </w:r>
      </w:hyperlink>
      <w:hyperlink r:id="rId104">
        <w:r w:rsidDel="00000000" w:rsidR="00000000" w:rsidRPr="00000000">
          <w:rPr>
            <w:color w:val="1155cc"/>
            <w:sz w:val="24"/>
            <w:szCs w:val="24"/>
            <w:rtl w:val="0"/>
          </w:rPr>
          <w:t xml:space="preserve">metoprolol</w:t>
        </w:r>
      </w:hyperlink>
      <w:r w:rsidDel="00000000" w:rsidR="00000000" w:rsidRPr="00000000">
        <w:rPr>
          <w:color w:val="232323"/>
          <w:sz w:val="24"/>
          <w:szCs w:val="24"/>
          <w:rtl w:val="0"/>
        </w:rPr>
        <w:t xml:space="preserve"> appears to be low, based on UpToDate guidance. Dihydropyridine calcium channel blockers such as</w:t>
      </w:r>
      <w:hyperlink r:id="rId105">
        <w:r w:rsidDel="00000000" w:rsidR="00000000" w:rsidRPr="00000000">
          <w:rPr>
            <w:color w:val="232323"/>
            <w:sz w:val="24"/>
            <w:szCs w:val="24"/>
            <w:rtl w:val="0"/>
          </w:rPr>
          <w:t xml:space="preserve"> </w:t>
        </w:r>
      </w:hyperlink>
      <w:hyperlink r:id="rId106">
        <w:r w:rsidDel="00000000" w:rsidR="00000000" w:rsidRPr="00000000">
          <w:rPr>
            <w:color w:val="1155cc"/>
            <w:sz w:val="24"/>
            <w:szCs w:val="24"/>
            <w:rtl w:val="0"/>
          </w:rPr>
          <w:t xml:space="preserve">nifedipine</w:t>
        </w:r>
      </w:hyperlink>
      <w:r w:rsidDel="00000000" w:rsidR="00000000" w:rsidRPr="00000000">
        <w:rPr>
          <w:color w:val="232323"/>
          <w:sz w:val="24"/>
          <w:szCs w:val="24"/>
          <w:rtl w:val="0"/>
        </w:rPr>
        <w:t xml:space="preserve"> are potent vasodilators and typically elicit a reflex beta-adrenergic response, which often includes reflex tachycardia rather than bradycardia; any potential negative chronotropic effect is considered clinically insignificant</w:t>
      </w:r>
      <w:hyperlink r:id="rId107">
        <w:r w:rsidDel="00000000" w:rsidR="00000000" w:rsidRPr="00000000">
          <w:rPr>
            <w:color w:val="232323"/>
            <w:sz w:val="24"/>
            <w:szCs w:val="24"/>
            <w:rtl w:val="0"/>
          </w:rPr>
          <w:t xml:space="preserve"> </w:t>
        </w:r>
      </w:hyperlink>
      <w:hyperlink r:id="rId108">
        <w:r w:rsidDel="00000000" w:rsidR="00000000" w:rsidRPr="00000000">
          <w:rPr>
            <w:color w:val="1155cc"/>
            <w:sz w:val="24"/>
            <w:szCs w:val="24"/>
            <w:rtl w:val="0"/>
          </w:rPr>
          <w:t xml:space="preserve">[1]</w:t>
        </w:r>
      </w:hyperlink>
      <w:hyperlink r:id="rId109">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In contrast, nondihydropyridine calcium channel blockers (verapamil, diltiazem) are associated with bradycardia and should not be combined with beta blockers due to additive negative chronotropic effects</w:t>
      </w:r>
      <w:hyperlink r:id="rId110">
        <w:r w:rsidDel="00000000" w:rsidR="00000000" w:rsidRPr="00000000">
          <w:rPr>
            <w:color w:val="232323"/>
            <w:sz w:val="24"/>
            <w:szCs w:val="24"/>
            <w:rtl w:val="0"/>
          </w:rPr>
          <w:t xml:space="preserve"> </w:t>
        </w:r>
      </w:hyperlink>
      <w:hyperlink r:id="rId111">
        <w:r w:rsidDel="00000000" w:rsidR="00000000" w:rsidRPr="00000000">
          <w:rPr>
            <w:color w:val="1155cc"/>
            <w:sz w:val="24"/>
            <w:szCs w:val="24"/>
            <w:rtl w:val="0"/>
          </w:rPr>
          <w:t xml:space="preserve">[3]</w:t>
        </w:r>
      </w:hyperlink>
      <w:hyperlink r:id="rId112">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0">
      <w:pPr>
        <w:spacing w:line="390" w:lineRule="auto"/>
        <w:rPr>
          <w:color w:val="232323"/>
          <w:sz w:val="24"/>
          <w:szCs w:val="24"/>
        </w:rPr>
      </w:pPr>
      <w:r w:rsidDel="00000000" w:rsidR="00000000" w:rsidRPr="00000000">
        <w:rPr>
          <w:rtl w:val="0"/>
        </w:rPr>
      </w:r>
    </w:p>
    <w:p w:rsidR="00000000" w:rsidDel="00000000" w:rsidP="00000000" w:rsidRDefault="00000000" w:rsidRPr="00000000" w14:paraId="00000051">
      <w:pPr>
        <w:spacing w:line="390" w:lineRule="auto"/>
        <w:rPr>
          <w:color w:val="232323"/>
          <w:sz w:val="24"/>
          <w:szCs w:val="24"/>
        </w:rPr>
      </w:pPr>
      <w:r w:rsidDel="00000000" w:rsidR="00000000" w:rsidRPr="00000000">
        <w:rPr>
          <w:color w:val="232323"/>
          <w:sz w:val="24"/>
          <w:szCs w:val="24"/>
          <w:rtl w:val="0"/>
        </w:rPr>
        <w:t xml:space="preserve">Combination therapy with a dihydropyridine calcium channel blocker (such as</w:t>
      </w:r>
      <w:hyperlink r:id="rId113">
        <w:r w:rsidDel="00000000" w:rsidR="00000000" w:rsidRPr="00000000">
          <w:rPr>
            <w:color w:val="232323"/>
            <w:sz w:val="24"/>
            <w:szCs w:val="24"/>
            <w:rtl w:val="0"/>
          </w:rPr>
          <w:t xml:space="preserve"> </w:t>
        </w:r>
      </w:hyperlink>
      <w:hyperlink r:id="rId114">
        <w:r w:rsidDel="00000000" w:rsidR="00000000" w:rsidRPr="00000000">
          <w:rPr>
            <w:color w:val="1155cc"/>
            <w:sz w:val="24"/>
            <w:szCs w:val="24"/>
            <w:rtl w:val="0"/>
          </w:rPr>
          <w:t xml:space="preserve">nifedipine</w:t>
        </w:r>
      </w:hyperlink>
      <w:r w:rsidDel="00000000" w:rsidR="00000000" w:rsidRPr="00000000">
        <w:rPr>
          <w:color w:val="232323"/>
          <w:sz w:val="24"/>
          <w:szCs w:val="24"/>
          <w:rtl w:val="0"/>
        </w:rPr>
        <w:t xml:space="preserve">) and a beta blocker (such as</w:t>
      </w:r>
      <w:hyperlink r:id="rId115">
        <w:r w:rsidDel="00000000" w:rsidR="00000000" w:rsidRPr="00000000">
          <w:rPr>
            <w:color w:val="232323"/>
            <w:sz w:val="24"/>
            <w:szCs w:val="24"/>
            <w:rtl w:val="0"/>
          </w:rPr>
          <w:t xml:space="preserve"> </w:t>
        </w:r>
      </w:hyperlink>
      <w:hyperlink r:id="rId116">
        <w:r w:rsidDel="00000000" w:rsidR="00000000" w:rsidRPr="00000000">
          <w:rPr>
            <w:color w:val="1155cc"/>
            <w:sz w:val="24"/>
            <w:szCs w:val="24"/>
            <w:rtl w:val="0"/>
          </w:rPr>
          <w:t xml:space="preserve">metoprolol</w:t>
        </w:r>
      </w:hyperlink>
      <w:r w:rsidDel="00000000" w:rsidR="00000000" w:rsidRPr="00000000">
        <w:rPr>
          <w:color w:val="232323"/>
          <w:sz w:val="24"/>
          <w:szCs w:val="24"/>
          <w:rtl w:val="0"/>
        </w:rPr>
        <w:t xml:space="preserve">) is generally considered safe and is associated with fewer side effects than the combination of a beta blocker with a nondihydropyridine calcium channel blocker</w:t>
      </w:r>
      <w:hyperlink r:id="rId117">
        <w:r w:rsidDel="00000000" w:rsidR="00000000" w:rsidRPr="00000000">
          <w:rPr>
            <w:color w:val="232323"/>
            <w:sz w:val="24"/>
            <w:szCs w:val="24"/>
            <w:rtl w:val="0"/>
          </w:rPr>
          <w:t xml:space="preserve"> </w:t>
        </w:r>
      </w:hyperlink>
      <w:hyperlink r:id="rId118">
        <w:r w:rsidDel="00000000" w:rsidR="00000000" w:rsidRPr="00000000">
          <w:rPr>
            <w:color w:val="1155cc"/>
            <w:sz w:val="24"/>
            <w:szCs w:val="24"/>
            <w:rtl w:val="0"/>
          </w:rPr>
          <w:t xml:space="preserve">[5]</w:t>
        </w:r>
      </w:hyperlink>
      <w:hyperlink r:id="rId119">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 There is no specific warning in UpToDate about increased risk of bradycardia with this combination, and the main concern with</w:t>
      </w:r>
      <w:hyperlink r:id="rId120">
        <w:r w:rsidDel="00000000" w:rsidR="00000000" w:rsidRPr="00000000">
          <w:rPr>
            <w:color w:val="232323"/>
            <w:sz w:val="24"/>
            <w:szCs w:val="24"/>
            <w:rtl w:val="0"/>
          </w:rPr>
          <w:t xml:space="preserve"> </w:t>
        </w:r>
      </w:hyperlink>
      <w:hyperlink r:id="rId121">
        <w:r w:rsidDel="00000000" w:rsidR="00000000" w:rsidRPr="00000000">
          <w:rPr>
            <w:color w:val="1155cc"/>
            <w:sz w:val="24"/>
            <w:szCs w:val="24"/>
            <w:rtl w:val="0"/>
          </w:rPr>
          <w:t xml:space="preserve">nifedipine</w:t>
        </w:r>
      </w:hyperlink>
      <w:r w:rsidDel="00000000" w:rsidR="00000000" w:rsidRPr="00000000">
        <w:rPr>
          <w:color w:val="232323"/>
          <w:sz w:val="24"/>
          <w:szCs w:val="24"/>
          <w:rtl w:val="0"/>
        </w:rPr>
        <w:t xml:space="preserve"> is reflex tachycardia rather than bradycardia</w:t>
      </w:r>
      <w:hyperlink r:id="rId122">
        <w:r w:rsidDel="00000000" w:rsidR="00000000" w:rsidRPr="00000000">
          <w:rPr>
            <w:color w:val="232323"/>
            <w:sz w:val="24"/>
            <w:szCs w:val="24"/>
            <w:rtl w:val="0"/>
          </w:rPr>
          <w:t xml:space="preserve"> </w:t>
        </w:r>
      </w:hyperlink>
      <w:hyperlink r:id="rId123">
        <w:r w:rsidDel="00000000" w:rsidR="00000000" w:rsidRPr="00000000">
          <w:rPr>
            <w:color w:val="1155cc"/>
            <w:sz w:val="24"/>
            <w:szCs w:val="24"/>
            <w:rtl w:val="0"/>
          </w:rPr>
          <w:t xml:space="preserve">[1]</w:t>
        </w:r>
      </w:hyperlink>
      <w:hyperlink r:id="rId124">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52">
      <w:pPr>
        <w:spacing w:line="390" w:lineRule="auto"/>
        <w:rPr>
          <w:color w:val="232323"/>
          <w:sz w:val="24"/>
          <w:szCs w:val="24"/>
        </w:rPr>
      </w:pPr>
      <w:r w:rsidDel="00000000" w:rsidR="00000000" w:rsidRPr="00000000">
        <w:rPr>
          <w:rtl w:val="0"/>
        </w:rPr>
      </w:r>
    </w:p>
    <w:p w:rsidR="00000000" w:rsidDel="00000000" w:rsidP="00000000" w:rsidRDefault="00000000" w:rsidRPr="00000000" w14:paraId="00000053">
      <w:pPr>
        <w:spacing w:line="390" w:lineRule="auto"/>
        <w:rPr>
          <w:color w:val="232323"/>
          <w:sz w:val="24"/>
          <w:szCs w:val="24"/>
        </w:rPr>
      </w:pPr>
      <w:r w:rsidDel="00000000" w:rsidR="00000000" w:rsidRPr="00000000">
        <w:rPr>
          <w:color w:val="232323"/>
          <w:sz w:val="24"/>
          <w:szCs w:val="24"/>
          <w:rtl w:val="0"/>
        </w:rPr>
        <w:t xml:space="preserve">However, clinicians should remain vigilant for bradycardia in patients with underlying conduction system disease, those on other negative chronotropic agents, or those with heart failure, as individual susceptibility may vary</w:t>
      </w:r>
      <w:hyperlink r:id="rId125">
        <w:r w:rsidDel="00000000" w:rsidR="00000000" w:rsidRPr="00000000">
          <w:rPr>
            <w:color w:val="232323"/>
            <w:sz w:val="24"/>
            <w:szCs w:val="24"/>
            <w:rtl w:val="0"/>
          </w:rPr>
          <w:t xml:space="preserve"> </w:t>
        </w:r>
      </w:hyperlink>
      <w:hyperlink r:id="rId126">
        <w:r w:rsidDel="00000000" w:rsidR="00000000" w:rsidRPr="00000000">
          <w:rPr>
            <w:color w:val="1155cc"/>
            <w:sz w:val="24"/>
            <w:szCs w:val="24"/>
            <w:rtl w:val="0"/>
          </w:rPr>
          <w:t xml:space="preserve">[3]</w:t>
        </w:r>
      </w:hyperlink>
      <w:hyperlink r:id="rId127">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4">
      <w:pPr>
        <w:pStyle w:val="Heading3"/>
        <w:keepNext w:val="0"/>
        <w:keepLines w:val="0"/>
        <w:pBdr>
          <w:top w:color="dadada" w:space="13" w:sz="5" w:val="single"/>
        </w:pBdr>
        <w:spacing w:after="40" w:before="460" w:line="346.66666666666663" w:lineRule="auto"/>
        <w:rPr>
          <w:b w:val="1"/>
          <w:bCs w:val="1"/>
          <w:color w:val="232323"/>
          <w:sz w:val="27"/>
          <w:szCs w:val="27"/>
        </w:rPr>
      </w:pPr>
      <w:bookmarkStart w:colFirst="0" w:colLast="0" w:name="_9t8jfjpa8b1e" w:id="10"/>
      <w:bookmarkEnd w:id="10"/>
      <w:r w:rsidDel="00000000" w:rsidR="00000000" w:rsidRPr="00000000">
        <w:rPr>
          <w:b w:val="1"/>
          <w:bCs w:val="1"/>
          <w:color w:val="232323"/>
          <w:sz w:val="27"/>
          <w:szCs w:val="27"/>
          <w:rtl w:val="0"/>
        </w:rPr>
        <w:t xml:space="preserve">Pros and Cons of Combining Nifedipine and Metoprolol</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90"/>
        <w:gridCol w:w="3435"/>
        <w:tblGridChange w:id="0">
          <w:tblGrid>
            <w:gridCol w:w="2010"/>
            <w:gridCol w:w="3690"/>
            <w:gridCol w:w="3435"/>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5">
            <w:pPr>
              <w:spacing w:after="240" w:lineRule="auto"/>
              <w:rPr>
                <w:color w:val="232323"/>
                <w:sz w:val="24"/>
                <w:szCs w:val="24"/>
              </w:rPr>
            </w:pPr>
            <w:r w:rsidDel="00000000" w:rsidR="00000000" w:rsidRPr="00000000">
              <w:rPr>
                <w:b w:val="1"/>
                <w:bCs w:val="1"/>
                <w:color w:val="232323"/>
                <w:sz w:val="24"/>
                <w:szCs w:val="24"/>
                <w:rtl w:val="0"/>
              </w:rPr>
              <w:t xml:space="preserv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6">
            <w:pPr>
              <w:spacing w:after="240" w:lineRule="auto"/>
              <w:rPr>
                <w:color w:val="232323"/>
                <w:sz w:val="24"/>
                <w:szCs w:val="24"/>
              </w:rPr>
            </w:pPr>
            <w:r w:rsidDel="00000000" w:rsidR="00000000" w:rsidRPr="00000000">
              <w:rPr>
                <w:b w:val="1"/>
                <w:bCs w:val="1"/>
                <w:color w:val="232323"/>
                <w:sz w:val="24"/>
                <w:szCs w:val="24"/>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7">
            <w:pPr>
              <w:spacing w:after="240" w:lineRule="auto"/>
              <w:rPr>
                <w:color w:val="232323"/>
                <w:sz w:val="24"/>
                <w:szCs w:val="24"/>
              </w:rPr>
            </w:pPr>
            <w:r w:rsidDel="00000000" w:rsidR="00000000" w:rsidRPr="00000000">
              <w:rPr>
                <w:b w:val="1"/>
                <w:bCs w:val="1"/>
                <w:color w:val="232323"/>
                <w:sz w:val="24"/>
                <w:szCs w:val="24"/>
                <w:rtl w:val="0"/>
              </w:rPr>
              <w:t xml:space="preserve">Cons</w:t>
            </w:r>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8">
            <w:pPr>
              <w:spacing w:after="240" w:lineRule="auto"/>
              <w:rPr>
                <w:color w:val="232323"/>
                <w:sz w:val="24"/>
                <w:szCs w:val="24"/>
              </w:rPr>
            </w:pPr>
            <w:r w:rsidDel="00000000" w:rsidR="00000000" w:rsidRPr="00000000">
              <w:rPr>
                <w:color w:val="232323"/>
                <w:sz w:val="24"/>
                <w:szCs w:val="24"/>
                <w:rtl w:val="0"/>
              </w:rPr>
              <w:t xml:space="preserve">Antianginal efficacy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9">
            <w:pPr>
              <w:spacing w:after="240" w:lineRule="auto"/>
              <w:rPr>
                <w:color w:val="232323"/>
                <w:sz w:val="24"/>
                <w:szCs w:val="24"/>
              </w:rPr>
            </w:pPr>
            <w:r w:rsidDel="00000000" w:rsidR="00000000" w:rsidRPr="00000000">
              <w:rPr>
                <w:color w:val="232323"/>
                <w:sz w:val="24"/>
                <w:szCs w:val="24"/>
                <w:rtl w:val="0"/>
              </w:rPr>
              <w:t xml:space="preserve">Improved symptom control compared to monotherapy </w:t>
            </w:r>
            <w:hyperlink r:id="rId128">
              <w:r w:rsidDel="00000000" w:rsidR="00000000" w:rsidRPr="00000000">
                <w:rPr>
                  <w:color w:val="1155cc"/>
                  <w:sz w:val="24"/>
                  <w:szCs w:val="24"/>
                  <w:rtl w:val="0"/>
                </w:rPr>
                <w:t xml:space="preserve">[5]</w:t>
              </w:r>
            </w:hyperlink>
            <w:hyperlink r:id="rId129">
              <w:r w:rsidDel="00000000" w:rsidR="00000000" w:rsidRPr="00000000">
                <w:rPr>
                  <w:color w:val="1155cc"/>
                  <w:sz w:val="24"/>
                  <w:szCs w:val="24"/>
                  <w:rtl w:val="0"/>
                </w:rPr>
                <w:t xml:space="preserve">[8]</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A">
            <w:pPr>
              <w:spacing w:after="240" w:lineRule="auto"/>
              <w:rPr>
                <w:color w:val="232323"/>
                <w:sz w:val="24"/>
                <w:szCs w:val="24"/>
              </w:rPr>
            </w:pPr>
            <w:r w:rsidDel="00000000" w:rsidR="00000000" w:rsidRPr="00000000">
              <w:rPr>
                <w:color w:val="232323"/>
                <w:sz w:val="24"/>
                <w:szCs w:val="24"/>
                <w:rtl w:val="0"/>
              </w:rPr>
              <w:t xml:space="preserve">Additive antihypertensive effect may cause hypotension </w:t>
            </w:r>
            <w:hyperlink r:id="rId130">
              <w:r w:rsidDel="00000000" w:rsidR="00000000" w:rsidRPr="00000000">
                <w:rPr>
                  <w:color w:val="1155cc"/>
                  <w:sz w:val="24"/>
                  <w:szCs w:val="24"/>
                  <w:rtl w:val="0"/>
                </w:rPr>
                <w:t xml:space="preserve">[1]</w:t>
              </w:r>
            </w:hyperlink>
            <w:hyperlink r:id="rId131">
              <w:r w:rsidDel="00000000" w:rsidR="00000000" w:rsidRPr="00000000">
                <w:rPr>
                  <w:color w:val="1155cc"/>
                  <w:sz w:val="24"/>
                  <w:szCs w:val="24"/>
                  <w:rtl w:val="0"/>
                </w:rPr>
                <w:t xml:space="preserve">[5]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B">
            <w:pPr>
              <w:spacing w:after="240" w:lineRule="auto"/>
              <w:rPr>
                <w:color w:val="232323"/>
                <w:sz w:val="24"/>
                <w:szCs w:val="24"/>
              </w:rPr>
            </w:pPr>
            <w:r w:rsidDel="00000000" w:rsidR="00000000" w:rsidRPr="00000000">
              <w:rPr>
                <w:color w:val="232323"/>
                <w:sz w:val="24"/>
                <w:szCs w:val="24"/>
                <w:rtl w:val="0"/>
              </w:rPr>
              <w:t xml:space="preserve">Safety (bradycardia)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pacing w:after="240" w:lineRule="auto"/>
              <w:rPr>
                <w:color w:val="232323"/>
                <w:sz w:val="24"/>
                <w:szCs w:val="24"/>
              </w:rPr>
            </w:pPr>
            <w:r w:rsidDel="00000000" w:rsidR="00000000" w:rsidRPr="00000000">
              <w:rPr>
                <w:color w:val="232323"/>
                <w:sz w:val="24"/>
                <w:szCs w:val="24"/>
                <w:rtl w:val="0"/>
              </w:rPr>
              <w:t xml:space="preserve">Low risk of bradycardia with dihydropyridine + beta blocker </w:t>
            </w:r>
            <w:hyperlink r:id="rId132">
              <w:r w:rsidDel="00000000" w:rsidR="00000000" w:rsidRPr="00000000">
                <w:rPr>
                  <w:color w:val="1155cc"/>
                  <w:sz w:val="24"/>
                  <w:szCs w:val="24"/>
                  <w:rtl w:val="0"/>
                </w:rPr>
                <w:t xml:space="preserve">[1]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D">
            <w:pPr>
              <w:spacing w:after="240" w:lineRule="auto"/>
              <w:rPr>
                <w:color w:val="232323"/>
                <w:sz w:val="24"/>
                <w:szCs w:val="24"/>
              </w:rPr>
            </w:pPr>
            <w:r w:rsidDel="00000000" w:rsidR="00000000" w:rsidRPr="00000000">
              <w:rPr>
                <w:color w:val="232323"/>
                <w:sz w:val="24"/>
                <w:szCs w:val="24"/>
                <w:rtl w:val="0"/>
              </w:rPr>
              <w:t xml:space="preserve">Risk may increase in patients with conduction disease </w:t>
            </w:r>
            <w:hyperlink r:id="rId133">
              <w:r w:rsidDel="00000000" w:rsidR="00000000" w:rsidRPr="00000000">
                <w:rPr>
                  <w:color w:val="1155cc"/>
                  <w:sz w:val="24"/>
                  <w:szCs w:val="24"/>
                  <w:rtl w:val="0"/>
                </w:rPr>
                <w:t xml:space="preserve">[3]</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E">
            <w:pPr>
              <w:spacing w:after="240" w:lineRule="auto"/>
              <w:rPr>
                <w:color w:val="232323"/>
                <w:sz w:val="24"/>
                <w:szCs w:val="24"/>
              </w:rPr>
            </w:pPr>
            <w:r w:rsidDel="00000000" w:rsidR="00000000" w:rsidRPr="00000000">
              <w:rPr>
                <w:color w:val="232323"/>
                <w:sz w:val="24"/>
                <w:szCs w:val="24"/>
                <w:rtl w:val="0"/>
              </w:rPr>
              <w:t xml:space="preserve">Side effect profile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F">
            <w:pPr>
              <w:spacing w:after="240" w:lineRule="auto"/>
              <w:rPr>
                <w:color w:val="232323"/>
                <w:sz w:val="24"/>
                <w:szCs w:val="24"/>
              </w:rPr>
            </w:pPr>
            <w:r w:rsidDel="00000000" w:rsidR="00000000" w:rsidRPr="00000000">
              <w:rPr>
                <w:color w:val="232323"/>
                <w:sz w:val="24"/>
                <w:szCs w:val="24"/>
                <w:rtl w:val="0"/>
              </w:rPr>
              <w:t xml:space="preserve">Fewer side effects than verapamil/diltiazem + beta blocker </w:t>
            </w:r>
            <w:hyperlink r:id="rId134">
              <w:r w:rsidDel="00000000" w:rsidR="00000000" w:rsidRPr="00000000">
                <w:rPr>
                  <w:color w:val="1155cc"/>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0">
            <w:pPr>
              <w:spacing w:after="240" w:lineRule="auto"/>
              <w:rPr>
                <w:color w:val="232323"/>
                <w:sz w:val="24"/>
                <w:szCs w:val="24"/>
              </w:rPr>
            </w:pPr>
            <w:r w:rsidDel="00000000" w:rsidR="00000000" w:rsidRPr="00000000">
              <w:rPr>
                <w:color w:val="232323"/>
                <w:sz w:val="24"/>
                <w:szCs w:val="24"/>
                <w:rtl w:val="0"/>
              </w:rPr>
              <w:t xml:space="preserve">Monitor for hypotension, dizziness, and rare bradycardia </w:t>
            </w:r>
            <w:hyperlink r:id="rId135">
              <w:r w:rsidDel="00000000" w:rsidR="00000000" w:rsidRPr="00000000">
                <w:rPr>
                  <w:color w:val="1155cc"/>
                  <w:sz w:val="24"/>
                  <w:szCs w:val="24"/>
                  <w:rtl w:val="0"/>
                </w:rPr>
                <w:t xml:space="preserve">[1]</w:t>
              </w:r>
            </w:hyperlink>
            <w:hyperlink r:id="rId136">
              <w:r w:rsidDel="00000000" w:rsidR="00000000" w:rsidRPr="00000000">
                <w:rPr>
                  <w:color w:val="1155cc"/>
                  <w:sz w:val="24"/>
                  <w:szCs w:val="24"/>
                  <w:rtl w:val="0"/>
                </w:rPr>
                <w:t xml:space="preserve">[5]</w:t>
              </w:r>
            </w:hyperlink>
            <w:r w:rsidDel="00000000" w:rsidR="00000000" w:rsidRPr="00000000">
              <w:rPr>
                <w:rtl w:val="0"/>
              </w:rPr>
            </w:r>
          </w:p>
        </w:tc>
      </w:tr>
    </w:tbl>
    <w:p w:rsidR="00000000" w:rsidDel="00000000" w:rsidP="00000000" w:rsidRDefault="00000000" w:rsidRPr="00000000" w14:paraId="00000061">
      <w:pPr>
        <w:pStyle w:val="Heading3"/>
        <w:keepNext w:val="0"/>
        <w:keepLines w:val="0"/>
        <w:spacing w:after="40" w:before="460" w:line="346.66666666666663" w:lineRule="auto"/>
        <w:rPr>
          <w:b w:val="1"/>
          <w:bCs w:val="1"/>
          <w:color w:val="232323"/>
          <w:sz w:val="27"/>
          <w:szCs w:val="27"/>
        </w:rPr>
      </w:pPr>
      <w:bookmarkStart w:colFirst="0" w:colLast="0" w:name="_2w2exvkut0am" w:id="11"/>
      <w:bookmarkEnd w:id="11"/>
      <w:r w:rsidDel="00000000" w:rsidR="00000000" w:rsidRPr="00000000">
        <w:rPr>
          <w:b w:val="1"/>
          <w:bCs w:val="1"/>
          <w:color w:val="232323"/>
          <w:sz w:val="27"/>
          <w:szCs w:val="27"/>
          <w:rtl w:val="0"/>
        </w:rPr>
        <w:t xml:space="preserve">Key Points</w:t>
      </w:r>
    </w:p>
    <w:p w:rsidR="00000000" w:rsidDel="00000000" w:rsidP="00000000" w:rsidRDefault="00000000" w:rsidRPr="00000000" w14:paraId="00000062">
      <w:pPr>
        <w:numPr>
          <w:ilvl w:val="0"/>
          <w:numId w:val="5"/>
        </w:numPr>
        <w:spacing w:after="0" w:afterAutospacing="0" w:before="220" w:line="390" w:lineRule="auto"/>
        <w:ind w:left="720" w:hanging="360"/>
        <w:rPr>
          <w:sz w:val="24"/>
          <w:szCs w:val="24"/>
        </w:rPr>
      </w:pPr>
      <w:hyperlink r:id="rId137">
        <w:r w:rsidDel="00000000" w:rsidR="00000000" w:rsidRPr="00000000">
          <w:rPr>
            <w:color w:val="1155cc"/>
            <w:sz w:val="24"/>
            <w:szCs w:val="24"/>
            <w:rtl w:val="0"/>
          </w:rPr>
          <w:t xml:space="preserve">Nifedipine</w:t>
        </w:r>
      </w:hyperlink>
      <w:r w:rsidDel="00000000" w:rsidR="00000000" w:rsidRPr="00000000">
        <w:rPr>
          <w:color w:val="232323"/>
          <w:sz w:val="24"/>
          <w:szCs w:val="24"/>
          <w:rtl w:val="0"/>
        </w:rPr>
        <w:t xml:space="preserve"> and </w:t>
      </w:r>
      <w:hyperlink r:id="rId138">
        <w:r w:rsidDel="00000000" w:rsidR="00000000" w:rsidRPr="00000000">
          <w:rPr>
            <w:color w:val="1155cc"/>
            <w:sz w:val="24"/>
            <w:szCs w:val="24"/>
            <w:rtl w:val="0"/>
          </w:rPr>
          <w:t xml:space="preserve">metoprolol</w:t>
        </w:r>
      </w:hyperlink>
      <w:r w:rsidDel="00000000" w:rsidR="00000000" w:rsidRPr="00000000">
        <w:rPr>
          <w:color w:val="232323"/>
          <w:sz w:val="24"/>
          <w:szCs w:val="24"/>
          <w:rtl w:val="0"/>
        </w:rPr>
        <w:t xml:space="preserve"> combination is generally safe with low risk of bradycardia </w:t>
      </w:r>
      <w:hyperlink r:id="rId139">
        <w:r w:rsidDel="00000000" w:rsidR="00000000" w:rsidRPr="00000000">
          <w:rPr>
            <w:color w:val="1155cc"/>
            <w:sz w:val="24"/>
            <w:szCs w:val="24"/>
            <w:rtl w:val="0"/>
          </w:rPr>
          <w:t xml:space="preserve">[1]</w:t>
        </w:r>
      </w:hyperlink>
      <w:hyperlink r:id="rId140">
        <w:r w:rsidDel="00000000" w:rsidR="00000000" w:rsidRPr="00000000">
          <w:rPr>
            <w:color w:val="1155cc"/>
            <w:sz w:val="24"/>
            <w:szCs w:val="24"/>
            <w:rtl w:val="0"/>
          </w:rPr>
          <w:t xml:space="preserve">[5]</w:t>
        </w:r>
      </w:hyperlink>
      <w:hyperlink r:id="rId141">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3">
      <w:pPr>
        <w:numPr>
          <w:ilvl w:val="0"/>
          <w:numId w:val="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bradycardia in patients with conduction system disease or on other negative chronotropic agents </w:t>
      </w:r>
      <w:hyperlink r:id="rId142">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4">
      <w:pPr>
        <w:numPr>
          <w:ilvl w:val="0"/>
          <w:numId w:val="5"/>
        </w:numPr>
        <w:spacing w:after="240" w:before="0" w:beforeAutospacing="0" w:line="390" w:lineRule="auto"/>
        <w:ind w:left="720" w:hanging="360"/>
        <w:rPr>
          <w:sz w:val="24"/>
          <w:szCs w:val="24"/>
        </w:rPr>
      </w:pPr>
      <w:r w:rsidDel="00000000" w:rsidR="00000000" w:rsidRPr="00000000">
        <w:rPr>
          <w:color w:val="232323"/>
          <w:sz w:val="24"/>
          <w:szCs w:val="24"/>
          <w:rtl w:val="0"/>
        </w:rPr>
        <w:t xml:space="preserve">The main cardiovascular side effect of </w:t>
      </w:r>
      <w:hyperlink r:id="rId143">
        <w:r w:rsidDel="00000000" w:rsidR="00000000" w:rsidRPr="00000000">
          <w:rPr>
            <w:color w:val="1155cc"/>
            <w:sz w:val="24"/>
            <w:szCs w:val="24"/>
            <w:rtl w:val="0"/>
          </w:rPr>
          <w:t xml:space="preserve">nifedipine</w:t>
        </w:r>
      </w:hyperlink>
      <w:r w:rsidDel="00000000" w:rsidR="00000000" w:rsidRPr="00000000">
        <w:rPr>
          <w:color w:val="232323"/>
          <w:sz w:val="24"/>
          <w:szCs w:val="24"/>
          <w:rtl w:val="0"/>
        </w:rPr>
        <w:t xml:space="preserve"> is reflex tachycardia, not bradycardia </w:t>
      </w:r>
      <w:hyperlink r:id="rId144">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5">
      <w:pPr>
        <w:pStyle w:val="Heading3"/>
        <w:keepNext w:val="0"/>
        <w:keepLines w:val="0"/>
        <w:spacing w:after="40" w:before="460" w:line="346.66666666666663" w:lineRule="auto"/>
        <w:rPr>
          <w:b w:val="1"/>
          <w:bCs w:val="1"/>
          <w:color w:val="232323"/>
          <w:sz w:val="27"/>
          <w:szCs w:val="27"/>
        </w:rPr>
      </w:pPr>
      <w:bookmarkStart w:colFirst="0" w:colLast="0" w:name="_ufs2ptwh5fk0"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66">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7">
      <w:pPr>
        <w:numPr>
          <w:ilvl w:val="0"/>
          <w:numId w:val="4"/>
        </w:numPr>
        <w:spacing w:after="0" w:afterAutospacing="0" w:before="220" w:line="390" w:lineRule="auto"/>
        <w:ind w:left="720" w:hanging="360"/>
      </w:pPr>
      <w:hyperlink r:id="rId145">
        <w:r w:rsidDel="00000000" w:rsidR="00000000" w:rsidRPr="00000000">
          <w:rPr>
            <w:color w:val="1155cc"/>
            <w:sz w:val="24"/>
            <w:szCs w:val="24"/>
            <w:rtl w:val="0"/>
          </w:rPr>
          <w:t xml:space="preserve">What if the patient has underlying conduction system disease or heart failure?</w:t>
        </w:r>
      </w:hyperlink>
      <w:r w:rsidDel="00000000" w:rsidR="00000000" w:rsidRPr="00000000">
        <w:rPr>
          <w:rtl w:val="0"/>
        </w:rPr>
      </w:r>
    </w:p>
    <w:p w:rsidR="00000000" w:rsidDel="00000000" w:rsidP="00000000" w:rsidRDefault="00000000" w:rsidRPr="00000000" w14:paraId="00000068">
      <w:pPr>
        <w:numPr>
          <w:ilvl w:val="0"/>
          <w:numId w:val="4"/>
        </w:numPr>
        <w:spacing w:after="0" w:afterAutospacing="0" w:before="0" w:beforeAutospacing="0" w:line="390" w:lineRule="auto"/>
        <w:ind w:left="720" w:hanging="360"/>
      </w:pPr>
      <w:hyperlink r:id="rId146">
        <w:r w:rsidDel="00000000" w:rsidR="00000000" w:rsidRPr="00000000">
          <w:rPr>
            <w:color w:val="1155cc"/>
            <w:sz w:val="24"/>
            <w:szCs w:val="24"/>
            <w:rtl w:val="0"/>
          </w:rPr>
          <w:t xml:space="preserve">What are the risks of combining metoprolol with nondihydropyridine calcium channel blockers?</w:t>
        </w:r>
      </w:hyperlink>
      <w:r w:rsidDel="00000000" w:rsidR="00000000" w:rsidRPr="00000000">
        <w:rPr>
          <w:rtl w:val="0"/>
        </w:rPr>
      </w:r>
    </w:p>
    <w:p w:rsidR="00000000" w:rsidDel="00000000" w:rsidP="00000000" w:rsidRDefault="00000000" w:rsidRPr="00000000" w14:paraId="00000069">
      <w:pPr>
        <w:numPr>
          <w:ilvl w:val="0"/>
          <w:numId w:val="4"/>
        </w:numPr>
        <w:spacing w:after="0" w:afterAutospacing="0" w:before="0" w:beforeAutospacing="0" w:line="390" w:lineRule="auto"/>
        <w:ind w:left="720" w:hanging="360"/>
      </w:pPr>
      <w:hyperlink r:id="rId147">
        <w:r w:rsidDel="00000000" w:rsidR="00000000" w:rsidRPr="00000000">
          <w:rPr>
            <w:color w:val="1155cc"/>
            <w:sz w:val="24"/>
            <w:szCs w:val="24"/>
            <w:rtl w:val="0"/>
          </w:rPr>
          <w:t xml:space="preserve">What are the preferred agents for angina in patients with bradycardia?</w:t>
        </w:r>
      </w:hyperlink>
      <w:r w:rsidDel="00000000" w:rsidR="00000000" w:rsidRPr="00000000">
        <w:rPr>
          <w:rtl w:val="0"/>
        </w:rPr>
      </w:r>
    </w:p>
    <w:p w:rsidR="00000000" w:rsidDel="00000000" w:rsidP="00000000" w:rsidRDefault="00000000" w:rsidRPr="00000000" w14:paraId="0000006A">
      <w:pPr>
        <w:numPr>
          <w:ilvl w:val="0"/>
          <w:numId w:val="4"/>
        </w:numPr>
        <w:spacing w:after="0" w:afterAutospacing="0" w:before="0" w:beforeAutospacing="0" w:line="390" w:lineRule="auto"/>
        <w:ind w:left="720" w:hanging="360"/>
      </w:pPr>
      <w:hyperlink r:id="rId148">
        <w:r w:rsidDel="00000000" w:rsidR="00000000" w:rsidRPr="00000000">
          <w:rPr>
            <w:color w:val="1155cc"/>
            <w:sz w:val="24"/>
            <w:szCs w:val="24"/>
            <w:rtl w:val="0"/>
          </w:rPr>
          <w:t xml:space="preserve">How should therapy be monitored for adverse cardiac effects?</w:t>
        </w:r>
      </w:hyperlink>
      <w:r w:rsidDel="00000000" w:rsidR="00000000" w:rsidRPr="00000000">
        <w:rPr>
          <w:rtl w:val="0"/>
        </w:rPr>
      </w:r>
    </w:p>
    <w:p w:rsidR="00000000" w:rsidDel="00000000" w:rsidP="00000000" w:rsidRDefault="00000000" w:rsidRPr="00000000" w14:paraId="0000006B">
      <w:pPr>
        <w:numPr>
          <w:ilvl w:val="0"/>
          <w:numId w:val="4"/>
        </w:numPr>
        <w:spacing w:after="240" w:before="0" w:beforeAutospacing="0" w:line="390" w:lineRule="auto"/>
        <w:ind w:left="720" w:hanging="360"/>
      </w:pPr>
      <w:hyperlink r:id="rId149">
        <w:r w:rsidDel="00000000" w:rsidR="00000000" w:rsidRPr="00000000">
          <w:rPr>
            <w:color w:val="1155cc"/>
            <w:sz w:val="24"/>
            <w:szCs w:val="24"/>
            <w:rtl w:val="0"/>
          </w:rPr>
          <w:t xml:space="preserve">What if the patient is elderly or has multiple comorbidities?</w:t>
        </w:r>
      </w:hyperlink>
      <w:r w:rsidDel="00000000" w:rsidR="00000000" w:rsidRPr="00000000">
        <w:rPr>
          <w:rtl w:val="0"/>
        </w:rPr>
      </w:r>
    </w:p>
    <w:p w:rsidR="00000000" w:rsidDel="00000000" w:rsidP="00000000" w:rsidRDefault="00000000" w:rsidRPr="00000000" w14:paraId="0000006C">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6D">
      <w:pPr>
        <w:pStyle w:val="Heading3"/>
        <w:keepNext w:val="0"/>
        <w:keepLines w:val="0"/>
        <w:spacing w:after="40" w:before="460" w:line="346.66666666666663" w:lineRule="auto"/>
        <w:rPr>
          <w:b w:val="1"/>
          <w:bCs w:val="1"/>
          <w:color w:val="232323"/>
          <w:sz w:val="27"/>
          <w:szCs w:val="27"/>
        </w:rPr>
      </w:pPr>
      <w:bookmarkStart w:colFirst="0" w:colLast="0" w:name="_so6rgvu2xn1r"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E">
      <w:pPr>
        <w:numPr>
          <w:ilvl w:val="0"/>
          <w:numId w:val="13"/>
        </w:numPr>
        <w:spacing w:after="0" w:afterAutospacing="0" w:before="240" w:lineRule="auto"/>
        <w:ind w:left="720" w:hanging="360"/>
      </w:pPr>
      <w:hyperlink r:id="rId150">
        <w:r w:rsidDel="00000000" w:rsidR="00000000" w:rsidRPr="00000000">
          <w:rPr>
            <w:color w:val="1155cc"/>
            <w:sz w:val="24"/>
            <w:szCs w:val="24"/>
            <w:rtl w:val="0"/>
          </w:rPr>
          <w:t xml:space="preserve">Calcium channel blockers in the management of chronic coronary syndromes &gt; CARDIOVASCULAR AND ADVERSE SIDE EFFECTS &gt; Dihydropyridines</w:t>
        </w:r>
      </w:hyperlink>
      <w:r w:rsidDel="00000000" w:rsidR="00000000" w:rsidRPr="00000000">
        <w:rPr>
          <w:rtl w:val="0"/>
        </w:rPr>
      </w:r>
    </w:p>
    <w:p w:rsidR="00000000" w:rsidDel="00000000" w:rsidP="00000000" w:rsidRDefault="00000000" w:rsidRPr="00000000" w14:paraId="0000006F">
      <w:pPr>
        <w:numPr>
          <w:ilvl w:val="0"/>
          <w:numId w:val="13"/>
        </w:numPr>
        <w:spacing w:after="0" w:afterAutospacing="0" w:before="0" w:beforeAutospacing="0" w:lineRule="auto"/>
        <w:ind w:left="720" w:hanging="360"/>
      </w:pPr>
      <w:hyperlink r:id="rId151">
        <w:r w:rsidDel="00000000" w:rsidR="00000000" w:rsidRPr="00000000">
          <w:rPr>
            <w:color w:val="1155cc"/>
            <w:sz w:val="24"/>
            <w:szCs w:val="24"/>
            <w:rtl w:val="0"/>
          </w:rPr>
          <w:t xml:space="preserve">Major side effects and safety of calcium channel blockers &gt; TYPES OF CALCIUM CHANNEL BLOCKERS &gt; Dihydropyridines</w:t>
        </w:r>
      </w:hyperlink>
      <w:r w:rsidDel="00000000" w:rsidR="00000000" w:rsidRPr="00000000">
        <w:rPr>
          <w:rtl w:val="0"/>
        </w:rPr>
      </w:r>
    </w:p>
    <w:p w:rsidR="00000000" w:rsidDel="00000000" w:rsidP="00000000" w:rsidRDefault="00000000" w:rsidRPr="00000000" w14:paraId="00000070">
      <w:pPr>
        <w:numPr>
          <w:ilvl w:val="0"/>
          <w:numId w:val="13"/>
        </w:numPr>
        <w:spacing w:after="0" w:afterAutospacing="0" w:before="0" w:beforeAutospacing="0" w:lineRule="auto"/>
        <w:ind w:left="720" w:hanging="360"/>
      </w:pPr>
      <w:hyperlink r:id="rId152">
        <w:r w:rsidDel="00000000" w:rsidR="00000000" w:rsidRPr="00000000">
          <w:rPr>
            <w:color w:val="1155cc"/>
            <w:sz w:val="24"/>
            <w:szCs w:val="24"/>
            <w:rtl w:val="0"/>
          </w:rPr>
          <w:t xml:space="preserve">Major side effects and safety of calcium channel blockers &gt; KNOWN SIDE EFFECTS &gt; Effects on cardiac function</w:t>
        </w:r>
      </w:hyperlink>
      <w:r w:rsidDel="00000000" w:rsidR="00000000" w:rsidRPr="00000000">
        <w:rPr>
          <w:rtl w:val="0"/>
        </w:rPr>
      </w:r>
    </w:p>
    <w:p w:rsidR="00000000" w:rsidDel="00000000" w:rsidP="00000000" w:rsidRDefault="00000000" w:rsidRPr="00000000" w14:paraId="00000071">
      <w:pPr>
        <w:numPr>
          <w:ilvl w:val="0"/>
          <w:numId w:val="13"/>
        </w:numPr>
        <w:spacing w:after="0" w:afterAutospacing="0" w:before="0" w:beforeAutospacing="0" w:lineRule="auto"/>
        <w:ind w:left="720" w:hanging="360"/>
      </w:pPr>
      <w:hyperlink r:id="rId153">
        <w:r w:rsidDel="00000000" w:rsidR="00000000" w:rsidRPr="00000000">
          <w:rPr>
            <w:color w:val="1155cc"/>
            <w:sz w:val="24"/>
            <w:szCs w:val="24"/>
            <w:rtl w:val="0"/>
          </w:rPr>
          <w:t xml:space="preserve">Major side effects and safety of calcium channel blockers &gt; SUMMARY</w:t>
        </w:r>
      </w:hyperlink>
      <w:r w:rsidDel="00000000" w:rsidR="00000000" w:rsidRPr="00000000">
        <w:rPr>
          <w:rtl w:val="0"/>
        </w:rPr>
      </w:r>
    </w:p>
    <w:p w:rsidR="00000000" w:rsidDel="00000000" w:rsidP="00000000" w:rsidRDefault="00000000" w:rsidRPr="00000000" w14:paraId="00000072">
      <w:pPr>
        <w:numPr>
          <w:ilvl w:val="0"/>
          <w:numId w:val="13"/>
        </w:numPr>
        <w:spacing w:after="0" w:afterAutospacing="0" w:before="0" w:beforeAutospacing="0" w:lineRule="auto"/>
        <w:ind w:left="720" w:hanging="360"/>
      </w:pPr>
      <w:hyperlink r:id="rId154">
        <w:r w:rsidDel="00000000" w:rsidR="00000000" w:rsidRPr="00000000">
          <w:rPr>
            <w:color w:val="1155cc"/>
            <w:sz w:val="24"/>
            <w:szCs w:val="24"/>
            <w:rtl w:val="0"/>
          </w:rPr>
          <w:t xml:space="preserve">Calcium channel blockers in the management of chronic coronary syndromes &gt; EFFECTIVENESS &gt; Combination therapy with beta blockers &gt; Nifedipine</w:t>
        </w:r>
      </w:hyperlink>
      <w:r w:rsidDel="00000000" w:rsidR="00000000" w:rsidRPr="00000000">
        <w:rPr>
          <w:rtl w:val="0"/>
        </w:rPr>
      </w:r>
    </w:p>
    <w:p w:rsidR="00000000" w:rsidDel="00000000" w:rsidP="00000000" w:rsidRDefault="00000000" w:rsidRPr="00000000" w14:paraId="00000073">
      <w:pPr>
        <w:numPr>
          <w:ilvl w:val="0"/>
          <w:numId w:val="13"/>
        </w:numPr>
        <w:spacing w:after="0" w:afterAutospacing="0" w:before="0" w:beforeAutospacing="0" w:lineRule="auto"/>
        <w:ind w:left="720" w:hanging="360"/>
      </w:pPr>
      <w:hyperlink r:id="rId155">
        <w:r w:rsidDel="00000000" w:rsidR="00000000" w:rsidRPr="00000000">
          <w:rPr>
            <w:color w:val="1155cc"/>
            <w:sz w:val="24"/>
            <w:szCs w:val="24"/>
            <w:rtl w:val="0"/>
          </w:rPr>
          <w:t xml:space="preserve">Calcium channel blockers in the management of chronic coronary syndromes &gt; SUMMARY</w:t>
        </w:r>
      </w:hyperlink>
      <w:r w:rsidDel="00000000" w:rsidR="00000000" w:rsidRPr="00000000">
        <w:rPr>
          <w:rtl w:val="0"/>
        </w:rPr>
      </w:r>
    </w:p>
    <w:p w:rsidR="00000000" w:rsidDel="00000000" w:rsidP="00000000" w:rsidRDefault="00000000" w:rsidRPr="00000000" w14:paraId="00000074">
      <w:pPr>
        <w:numPr>
          <w:ilvl w:val="0"/>
          <w:numId w:val="13"/>
        </w:numPr>
        <w:spacing w:after="0" w:afterAutospacing="0" w:before="0" w:beforeAutospacing="0" w:lineRule="auto"/>
        <w:ind w:left="720" w:hanging="360"/>
      </w:pPr>
      <w:hyperlink r:id="rId156">
        <w:r w:rsidDel="00000000" w:rsidR="00000000" w:rsidRPr="00000000">
          <w:rPr>
            <w:color w:val="1155cc"/>
            <w:sz w:val="24"/>
            <w:szCs w:val="24"/>
            <w:rtl w:val="0"/>
          </w:rPr>
          <w:t xml:space="preserve">Calcium channel blockers in the management of chronic coronary syndromes &gt; EFFECTIVENESS &gt; Dihydropyridines</w:t>
        </w:r>
      </w:hyperlink>
      <w:r w:rsidDel="00000000" w:rsidR="00000000" w:rsidRPr="00000000">
        <w:rPr>
          <w:rtl w:val="0"/>
        </w:rPr>
      </w:r>
    </w:p>
    <w:p w:rsidR="00000000" w:rsidDel="00000000" w:rsidP="00000000" w:rsidRDefault="00000000" w:rsidRPr="00000000" w14:paraId="00000075">
      <w:pPr>
        <w:numPr>
          <w:ilvl w:val="0"/>
          <w:numId w:val="13"/>
        </w:numPr>
        <w:spacing w:after="240" w:before="0" w:beforeAutospacing="0" w:lineRule="auto"/>
        <w:ind w:left="720" w:hanging="360"/>
      </w:pPr>
      <w:hyperlink r:id="rId157">
        <w:r w:rsidDel="00000000" w:rsidR="00000000" w:rsidRPr="00000000">
          <w:rPr>
            <w:color w:val="1155cc"/>
            <w:sz w:val="24"/>
            <w:szCs w:val="24"/>
            <w:rtl w:val="0"/>
          </w:rPr>
          <w:t xml:space="preserve">Calcium channel blockers in the management of chronic coronary syndromes &gt; EFFECTIVENESS &gt; Combination therapy with beta blockers</w:t>
        </w:r>
      </w:hyperlink>
      <w:r w:rsidDel="00000000" w:rsidR="00000000" w:rsidRPr="00000000">
        <w:rPr>
          <w:rtl w:val="0"/>
        </w:rPr>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krsdudithh"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92</w:t>
      </w:r>
      <w:r w:rsidDel="00000000" w:rsidR="00000000" w:rsidRPr="00000000">
        <w:rPr>
          <w:rtl w:val="0"/>
        </w:rPr>
      </w:r>
    </w:p>
    <w:p w:rsidR="00000000" w:rsidDel="00000000" w:rsidP="00000000" w:rsidRDefault="00000000" w:rsidRPr="00000000" w14:paraId="00000078">
      <w:pPr>
        <w:spacing w:line="390" w:lineRule="auto"/>
        <w:rPr>
          <w:color w:val="232323"/>
          <w:sz w:val="24"/>
          <w:szCs w:val="24"/>
        </w:rPr>
      </w:pPr>
      <w:r w:rsidDel="00000000" w:rsidR="00000000" w:rsidRPr="00000000">
        <w:rPr>
          <w:color w:val="232323"/>
          <w:sz w:val="24"/>
          <w:szCs w:val="24"/>
          <w:rtl w:val="0"/>
        </w:rPr>
        <w:t xml:space="preserve">ASSUMPTIONS: You are asking for the expected range of postmenopausal estradiol levels in adult females.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line="390" w:lineRule="auto"/>
        <w:rPr>
          <w:color w:val="232323"/>
          <w:sz w:val="24"/>
          <w:szCs w:val="24"/>
        </w:rPr>
      </w:pPr>
      <w:r w:rsidDel="00000000" w:rsidR="00000000" w:rsidRPr="00000000">
        <w:rPr>
          <w:color w:val="232323"/>
          <w:sz w:val="24"/>
          <w:szCs w:val="24"/>
          <w:rtl w:val="0"/>
        </w:rPr>
        <w:t xml:space="preserve">After menopause, serum estradiol concentrations decrease dramatically, with an approximate 95 percent decline from premenopausal levels. The average postmenopausal estradiol level is approximately 5 pg/mL</w:t>
      </w:r>
      <w:hyperlink r:id="rId158">
        <w:r w:rsidDel="00000000" w:rsidR="00000000" w:rsidRPr="00000000">
          <w:rPr>
            <w:color w:val="232323"/>
            <w:sz w:val="24"/>
            <w:szCs w:val="24"/>
            <w:rtl w:val="0"/>
          </w:rPr>
          <w:t xml:space="preserve"> </w:t>
        </w:r>
      </w:hyperlink>
      <w:hyperlink r:id="rId159">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It is important to note that most estradiol assays are not sufficiently sensitive to detect these low postmenopausal levels accurately, and measurement of estradiol levels should not be a routine aspect of clinical care</w:t>
      </w:r>
      <w:hyperlink r:id="rId160">
        <w:r w:rsidDel="00000000" w:rsidR="00000000" w:rsidRPr="00000000">
          <w:rPr>
            <w:color w:val="232323"/>
            <w:sz w:val="24"/>
            <w:szCs w:val="24"/>
            <w:rtl w:val="0"/>
          </w:rPr>
          <w:t xml:space="preserve"> </w:t>
        </w:r>
      </w:hyperlink>
      <w:hyperlink r:id="rId161">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Highly sensitive assays, such as mass spectrometry, can detect increments at very low levels (around 5 pg/mL), but do not reach premenopausal levels (which range from 40 to 600 pg/mL)</w:t>
      </w:r>
      <w:hyperlink r:id="rId162">
        <w:r w:rsidDel="00000000" w:rsidR="00000000" w:rsidRPr="00000000">
          <w:rPr>
            <w:color w:val="232323"/>
            <w:sz w:val="24"/>
            <w:szCs w:val="24"/>
            <w:rtl w:val="0"/>
          </w:rPr>
          <w:t xml:space="preserve"> </w:t>
        </w:r>
      </w:hyperlink>
      <w:hyperlink r:id="rId163">
        <w:r w:rsidDel="00000000" w:rsidR="00000000" w:rsidRPr="00000000">
          <w:rPr>
            <w:color w:val="1155cc"/>
            <w:sz w:val="24"/>
            <w:szCs w:val="24"/>
            <w:rtl w:val="0"/>
          </w:rPr>
          <w:t xml:space="preserve">[1]</w:t>
        </w:r>
      </w:hyperlink>
      <w:hyperlink r:id="rId164">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B">
      <w:pPr>
        <w:pStyle w:val="Heading3"/>
        <w:keepNext w:val="0"/>
        <w:keepLines w:val="0"/>
        <w:spacing w:after="40" w:before="460" w:line="346.66666666666663" w:lineRule="auto"/>
        <w:rPr>
          <w:b w:val="1"/>
          <w:bCs w:val="1"/>
          <w:color w:val="232323"/>
          <w:sz w:val="27"/>
          <w:szCs w:val="27"/>
        </w:rPr>
      </w:pPr>
      <w:bookmarkStart w:colFirst="0" w:colLast="0" w:name="_9ugf7kf66yki" w:id="15"/>
      <w:bookmarkEnd w:id="15"/>
      <w:r w:rsidDel="00000000" w:rsidR="00000000" w:rsidRPr="00000000">
        <w:rPr>
          <w:b w:val="1"/>
          <w:bCs w:val="1"/>
          <w:color w:val="232323"/>
          <w:sz w:val="27"/>
          <w:szCs w:val="27"/>
          <w:rtl w:val="0"/>
        </w:rPr>
        <w:t xml:space="preserve">Key Points</w:t>
      </w:r>
    </w:p>
    <w:p w:rsidR="00000000" w:rsidDel="00000000" w:rsidP="00000000" w:rsidRDefault="00000000" w:rsidRPr="00000000" w14:paraId="0000007C">
      <w:pPr>
        <w:numPr>
          <w:ilvl w:val="0"/>
          <w:numId w:val="7"/>
        </w:numPr>
        <w:spacing w:after="0" w:afterAutospacing="0" w:before="220" w:line="390" w:lineRule="auto"/>
        <w:ind w:left="720" w:hanging="360"/>
        <w:rPr>
          <w:sz w:val="24"/>
          <w:szCs w:val="24"/>
        </w:rPr>
      </w:pPr>
      <w:r w:rsidDel="00000000" w:rsidR="00000000" w:rsidRPr="00000000">
        <w:rPr>
          <w:color w:val="232323"/>
          <w:sz w:val="24"/>
          <w:szCs w:val="24"/>
          <w:rtl w:val="0"/>
        </w:rPr>
        <w:t xml:space="preserve">Postmenopausal estradiol levels average around 5 pg/mL </w:t>
      </w:r>
      <w:hyperlink r:id="rId165">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D">
      <w:pPr>
        <w:numPr>
          <w:ilvl w:val="0"/>
          <w:numId w:val="7"/>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Most routine assays are not sensitive enough to measure these low levels accurately </w:t>
      </w:r>
      <w:hyperlink r:id="rId166">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E">
      <w:pPr>
        <w:numPr>
          <w:ilvl w:val="0"/>
          <w:numId w:val="7"/>
        </w:numPr>
        <w:spacing w:after="240" w:before="0" w:beforeAutospacing="0" w:line="390" w:lineRule="auto"/>
        <w:ind w:left="720" w:hanging="360"/>
        <w:rPr>
          <w:sz w:val="24"/>
          <w:szCs w:val="24"/>
        </w:rPr>
      </w:pPr>
      <w:r w:rsidDel="00000000" w:rsidR="00000000" w:rsidRPr="00000000">
        <w:rPr>
          <w:color w:val="232323"/>
          <w:sz w:val="24"/>
          <w:szCs w:val="24"/>
          <w:rtl w:val="0"/>
        </w:rPr>
        <w:t xml:space="preserve">Measurement of estradiol is generally not recommended for routine postmenopausal care </w:t>
      </w:r>
      <w:hyperlink r:id="rId167">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F">
      <w:pPr>
        <w:pStyle w:val="Heading3"/>
        <w:keepNext w:val="0"/>
        <w:keepLines w:val="0"/>
        <w:spacing w:after="40" w:before="460" w:line="346.66666666666663" w:lineRule="auto"/>
        <w:rPr>
          <w:b w:val="1"/>
          <w:bCs w:val="1"/>
          <w:color w:val="232323"/>
          <w:sz w:val="27"/>
          <w:szCs w:val="27"/>
        </w:rPr>
      </w:pPr>
      <w:bookmarkStart w:colFirst="0" w:colLast="0" w:name="_pqrub0sqv39j"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80">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1">
      <w:pPr>
        <w:numPr>
          <w:ilvl w:val="0"/>
          <w:numId w:val="6"/>
        </w:numPr>
        <w:spacing w:after="0" w:afterAutospacing="0" w:before="220" w:line="390" w:lineRule="auto"/>
        <w:ind w:left="720" w:hanging="360"/>
      </w:pPr>
      <w:hyperlink r:id="rId168">
        <w:r w:rsidDel="00000000" w:rsidR="00000000" w:rsidRPr="00000000">
          <w:rPr>
            <w:color w:val="1155cc"/>
            <w:sz w:val="24"/>
            <w:szCs w:val="24"/>
            <w:rtl w:val="0"/>
          </w:rPr>
          <w:t xml:space="preserve">What are the clinical implications of low estradiol in postmenopausal women?</w:t>
        </w:r>
      </w:hyperlink>
      <w:r w:rsidDel="00000000" w:rsidR="00000000" w:rsidRPr="00000000">
        <w:rPr>
          <w:rtl w:val="0"/>
        </w:rPr>
      </w:r>
    </w:p>
    <w:p w:rsidR="00000000" w:rsidDel="00000000" w:rsidP="00000000" w:rsidRDefault="00000000" w:rsidRPr="00000000" w14:paraId="00000082">
      <w:pPr>
        <w:numPr>
          <w:ilvl w:val="0"/>
          <w:numId w:val="6"/>
        </w:numPr>
        <w:spacing w:after="0" w:afterAutospacing="0" w:before="0" w:beforeAutospacing="0" w:line="390" w:lineRule="auto"/>
        <w:ind w:left="720" w:hanging="360"/>
      </w:pPr>
      <w:hyperlink r:id="rId169">
        <w:r w:rsidDel="00000000" w:rsidR="00000000" w:rsidRPr="00000000">
          <w:rPr>
            <w:color w:val="1155cc"/>
            <w:sz w:val="24"/>
            <w:szCs w:val="24"/>
            <w:rtl w:val="0"/>
          </w:rPr>
          <w:t xml:space="preserve">How do estradiol levels change with hormone therapy in postmenopausal women?</w:t>
        </w:r>
      </w:hyperlink>
      <w:r w:rsidDel="00000000" w:rsidR="00000000" w:rsidRPr="00000000">
        <w:rPr>
          <w:rtl w:val="0"/>
        </w:rPr>
      </w:r>
    </w:p>
    <w:p w:rsidR="00000000" w:rsidDel="00000000" w:rsidP="00000000" w:rsidRDefault="00000000" w:rsidRPr="00000000" w14:paraId="00000083">
      <w:pPr>
        <w:numPr>
          <w:ilvl w:val="0"/>
          <w:numId w:val="6"/>
        </w:numPr>
        <w:spacing w:after="0" w:afterAutospacing="0" w:before="0" w:beforeAutospacing="0" w:line="390" w:lineRule="auto"/>
        <w:ind w:left="720" w:hanging="360"/>
      </w:pPr>
      <w:hyperlink r:id="rId170">
        <w:r w:rsidDel="00000000" w:rsidR="00000000" w:rsidRPr="00000000">
          <w:rPr>
            <w:color w:val="1155cc"/>
            <w:sz w:val="24"/>
            <w:szCs w:val="24"/>
            <w:rtl w:val="0"/>
          </w:rPr>
          <w:t xml:space="preserve">What symptoms are associated with postmenopausal hypoestrogenism?</w:t>
        </w:r>
      </w:hyperlink>
      <w:r w:rsidDel="00000000" w:rsidR="00000000" w:rsidRPr="00000000">
        <w:rPr>
          <w:rtl w:val="0"/>
        </w:rPr>
      </w:r>
    </w:p>
    <w:p w:rsidR="00000000" w:rsidDel="00000000" w:rsidP="00000000" w:rsidRDefault="00000000" w:rsidRPr="00000000" w14:paraId="00000084">
      <w:pPr>
        <w:numPr>
          <w:ilvl w:val="0"/>
          <w:numId w:val="6"/>
        </w:numPr>
        <w:spacing w:after="0" w:afterAutospacing="0" w:before="0" w:beforeAutospacing="0" w:line="390" w:lineRule="auto"/>
        <w:ind w:left="720" w:hanging="360"/>
      </w:pPr>
      <w:hyperlink r:id="rId171">
        <w:r w:rsidDel="00000000" w:rsidR="00000000" w:rsidRPr="00000000">
          <w:rPr>
            <w:color w:val="1155cc"/>
            <w:sz w:val="24"/>
            <w:szCs w:val="24"/>
            <w:rtl w:val="0"/>
          </w:rPr>
          <w:t xml:space="preserve">How do different estrogen preparations affect serum estradiol levels?</w:t>
        </w:r>
      </w:hyperlink>
      <w:r w:rsidDel="00000000" w:rsidR="00000000" w:rsidRPr="00000000">
        <w:rPr>
          <w:rtl w:val="0"/>
        </w:rPr>
      </w:r>
    </w:p>
    <w:p w:rsidR="00000000" w:rsidDel="00000000" w:rsidP="00000000" w:rsidRDefault="00000000" w:rsidRPr="00000000" w14:paraId="00000085">
      <w:pPr>
        <w:numPr>
          <w:ilvl w:val="0"/>
          <w:numId w:val="6"/>
        </w:numPr>
        <w:spacing w:after="240" w:before="0" w:beforeAutospacing="0" w:line="390" w:lineRule="auto"/>
        <w:ind w:left="720" w:hanging="360"/>
      </w:pPr>
      <w:hyperlink r:id="rId172">
        <w:r w:rsidDel="00000000" w:rsidR="00000000" w:rsidRPr="00000000">
          <w:rPr>
            <w:color w:val="1155cc"/>
            <w:sz w:val="24"/>
            <w:szCs w:val="24"/>
            <w:rtl w:val="0"/>
          </w:rPr>
          <w:t xml:space="preserve">What is the role of estradiol measurement in evaluating menopausal symptoms?</w:t>
        </w:r>
      </w:hyperlink>
      <w:r w:rsidDel="00000000" w:rsidR="00000000" w:rsidRPr="00000000">
        <w:rPr>
          <w:rtl w:val="0"/>
        </w:rPr>
      </w:r>
    </w:p>
    <w:p w:rsidR="00000000" w:rsidDel="00000000" w:rsidP="00000000" w:rsidRDefault="00000000" w:rsidRPr="00000000" w14:paraId="00000086">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laboratory evaluation in menopause.</w:t>
      </w:r>
    </w:p>
    <w:p w:rsidR="00000000" w:rsidDel="00000000" w:rsidP="00000000" w:rsidRDefault="00000000" w:rsidRPr="00000000" w14:paraId="00000087">
      <w:pPr>
        <w:pStyle w:val="Heading3"/>
        <w:keepNext w:val="0"/>
        <w:keepLines w:val="0"/>
        <w:spacing w:after="40" w:before="460" w:line="346.66666666666663" w:lineRule="auto"/>
        <w:rPr>
          <w:b w:val="1"/>
          <w:bCs w:val="1"/>
          <w:color w:val="232323"/>
          <w:sz w:val="27"/>
          <w:szCs w:val="27"/>
        </w:rPr>
      </w:pPr>
      <w:bookmarkStart w:colFirst="0" w:colLast="0" w:name="_7m6bwi9rclh7"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8">
      <w:pPr>
        <w:numPr>
          <w:ilvl w:val="0"/>
          <w:numId w:val="2"/>
        </w:numPr>
        <w:spacing w:after="0" w:afterAutospacing="0" w:before="240" w:lineRule="auto"/>
        <w:ind w:left="720" w:hanging="360"/>
      </w:pPr>
      <w:hyperlink r:id="rId173">
        <w:r w:rsidDel="00000000" w:rsidR="00000000" w:rsidRPr="00000000">
          <w:rPr>
            <w:color w:val="1155cc"/>
            <w:sz w:val="24"/>
            <w:szCs w:val="24"/>
            <w:rtl w:val="0"/>
          </w:rPr>
          <w:t xml:space="preserve">Genitourinary syndrome of menopause (vulvovaginal atrophy): Clinical manifestations and diagnosis &gt; PATHOPHYSIOLOGY &gt; Effects of hypoestrogenism</w:t>
        </w:r>
      </w:hyperlink>
      <w:r w:rsidDel="00000000" w:rsidR="00000000" w:rsidRPr="00000000">
        <w:rPr>
          <w:rtl w:val="0"/>
        </w:rPr>
      </w:r>
    </w:p>
    <w:p w:rsidR="00000000" w:rsidDel="00000000" w:rsidP="00000000" w:rsidRDefault="00000000" w:rsidRPr="00000000" w14:paraId="00000089">
      <w:pPr>
        <w:numPr>
          <w:ilvl w:val="0"/>
          <w:numId w:val="2"/>
        </w:numPr>
        <w:spacing w:after="240" w:before="0" w:beforeAutospacing="0" w:lineRule="auto"/>
        <w:ind w:left="720" w:hanging="360"/>
      </w:pPr>
      <w:hyperlink r:id="rId174">
        <w:r w:rsidDel="00000000" w:rsidR="00000000" w:rsidRPr="00000000">
          <w:rPr>
            <w:color w:val="1155cc"/>
            <w:sz w:val="24"/>
            <w:szCs w:val="24"/>
            <w:rtl w:val="0"/>
          </w:rPr>
          <w:t xml:space="preserve">Genitourinary syndrome of menopause (vulvovaginal atrophy): Treatment &gt; PERSISTENT SYMPTOMS &gt; Vaginal estrogen therapy &gt; Serum absorption</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42" Type="http://schemas.openxmlformats.org/officeDocument/2006/relationships/hyperlink" Target="https://www.uptodate.com/contents/3575#H34" TargetMode="External"/><Relationship Id="rId41" Type="http://schemas.openxmlformats.org/officeDocument/2006/relationships/hyperlink" Target="https://www.uptodate.com/contents/3575#H2366010389" TargetMode="External"/><Relationship Id="rId44" Type="http://schemas.openxmlformats.org/officeDocument/2006/relationships/hyperlink" Target="https://www.uptodate.com/contents/3575#H2736199068" TargetMode="External"/><Relationship Id="rId43" Type="http://schemas.openxmlformats.org/officeDocument/2006/relationships/hyperlink" Target="https://www.uptodate.com/contents/3575#H155744942" TargetMode="External"/><Relationship Id="rId46" Type="http://schemas.openxmlformats.org/officeDocument/2006/relationships/hyperlink" Target="https://www.uptodate.com/contents/3575#H1950125625" TargetMode="External"/><Relationship Id="rId45" Type="http://schemas.openxmlformats.org/officeDocument/2006/relationships/hyperlink" Target="https://www.uptodate.com/contents/3575#H1723869990" TargetMode="External"/><Relationship Id="rId107" Type="http://schemas.openxmlformats.org/officeDocument/2006/relationships/hyperlink" Target="https://www.uptodate.com/contents/1471#H4" TargetMode="External"/><Relationship Id="rId106" Type="http://schemas.openxmlformats.org/officeDocument/2006/relationships/hyperlink" Target="https://uptodate.com/contents/9700" TargetMode="External"/><Relationship Id="rId105" Type="http://schemas.openxmlformats.org/officeDocument/2006/relationships/hyperlink" Target="https://uptodate.com/contents/9700" TargetMode="External"/><Relationship Id="rId104" Type="http://schemas.openxmlformats.org/officeDocument/2006/relationships/hyperlink" Target="https://uptodate.com/contents/9645" TargetMode="External"/><Relationship Id="rId109" Type="http://schemas.openxmlformats.org/officeDocument/2006/relationships/hyperlink" Target="https://www.uptodate.com/contents/3832#H3" TargetMode="External"/><Relationship Id="rId108" Type="http://schemas.openxmlformats.org/officeDocument/2006/relationships/hyperlink" Target="https://www.uptodate.com/contents/1471#H4" TargetMode="External"/><Relationship Id="rId48" Type="http://schemas.openxmlformats.org/officeDocument/2006/relationships/hyperlink" Target="https://www.uptodate.com/contents/3575#H2071374481" TargetMode="External"/><Relationship Id="rId47" Type="http://schemas.openxmlformats.org/officeDocument/2006/relationships/hyperlink" Target="https://www.uptodate.com/contents/3597#H1126439944" TargetMode="External"/><Relationship Id="rId49" Type="http://schemas.openxmlformats.org/officeDocument/2006/relationships/hyperlink" Target="https://www.uptodate.com/contents/3575#H3510692151" TargetMode="External"/><Relationship Id="rId103" Type="http://schemas.openxmlformats.org/officeDocument/2006/relationships/hyperlink" Target="https://uptodate.com/contents/9645" TargetMode="External"/><Relationship Id="rId102" Type="http://schemas.openxmlformats.org/officeDocument/2006/relationships/hyperlink" Target="https://uptodate.com/contents/9700" TargetMode="External"/><Relationship Id="rId101" Type="http://schemas.openxmlformats.org/officeDocument/2006/relationships/hyperlink" Target="https://uptodate.com/contents/9700" TargetMode="External"/><Relationship Id="rId100" Type="http://schemas.openxmlformats.org/officeDocument/2006/relationships/hyperlink" Target="https://uptodate.com/contents/9645" TargetMode="External"/><Relationship Id="rId31" Type="http://schemas.openxmlformats.org/officeDocument/2006/relationships/hyperlink" Target="https://www.uptodate.com/contents/3575#H1950125625" TargetMode="External"/><Relationship Id="rId30" Type="http://schemas.openxmlformats.org/officeDocument/2006/relationships/hyperlink" Target="https://www.uptodate.com/contents/3575#H1723869990" TargetMode="External"/><Relationship Id="rId33" Type="http://schemas.openxmlformats.org/officeDocument/2006/relationships/hyperlink" Target="https://www.uptodate.com/contents/3575#H2071374481" TargetMode="External"/><Relationship Id="rId32" Type="http://schemas.openxmlformats.org/officeDocument/2006/relationships/hyperlink" Target="https://www.uptodate.com/contents/3597#H1126439944" TargetMode="External"/><Relationship Id="rId35" Type="http://schemas.openxmlformats.org/officeDocument/2006/relationships/hyperlink" Target="https://www.uptodate.com/contents/3575#H1056904927" TargetMode="External"/><Relationship Id="rId34" Type="http://schemas.openxmlformats.org/officeDocument/2006/relationships/hyperlink" Target="https://www.uptodate.com/contents/3575#H3510692151" TargetMode="External"/><Relationship Id="rId37" Type="http://schemas.openxmlformats.org/officeDocument/2006/relationships/hyperlink" Target="https://ai.uptodate.com/" TargetMode="External"/><Relationship Id="rId36" Type="http://schemas.openxmlformats.org/officeDocument/2006/relationships/hyperlink" Target="https://ai.uptodate.com/"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5443#H3251070396" TargetMode="External"/><Relationship Id="rId38" Type="http://schemas.openxmlformats.org/officeDocument/2006/relationships/hyperlink" Target="https://ai.uptodate.com/" TargetMode="External"/><Relationship Id="rId173" Type="http://schemas.openxmlformats.org/officeDocument/2006/relationships/hyperlink" Target="https://www.uptodate.com/contents/5464#H3128963104" TargetMode="External"/><Relationship Id="rId20" Type="http://schemas.openxmlformats.org/officeDocument/2006/relationships/hyperlink" Target="https://www.uptodate.com/contents/3597#H1126439944" TargetMode="External"/><Relationship Id="rId22" Type="http://schemas.openxmlformats.org/officeDocument/2006/relationships/hyperlink" Target="https://www.uptodate.com/contents/3575#H3510692151" TargetMode="External"/><Relationship Id="rId21" Type="http://schemas.openxmlformats.org/officeDocument/2006/relationships/hyperlink" Target="https://www.uptodate.com/contents/3575#H2071374481" TargetMode="External"/><Relationship Id="rId24" Type="http://schemas.openxmlformats.org/officeDocument/2006/relationships/hyperlink" Target="https://www.uptodate.com/contents/3575#H2366010389" TargetMode="External"/><Relationship Id="rId23" Type="http://schemas.openxmlformats.org/officeDocument/2006/relationships/hyperlink" Target="https://www.uptodate.com/contents/3575#H1056904927" TargetMode="External"/><Relationship Id="rId129" Type="http://schemas.openxmlformats.org/officeDocument/2006/relationships/hyperlink" Target="https://www.uptodate.com/contents/1471#H12" TargetMode="External"/><Relationship Id="rId128" Type="http://schemas.openxmlformats.org/officeDocument/2006/relationships/hyperlink" Target="https://www.uptodate.com/contents/1471#H14" TargetMode="External"/><Relationship Id="rId127" Type="http://schemas.openxmlformats.org/officeDocument/2006/relationships/hyperlink" Target="https://www.uptodate.com/contents/3832#H15" TargetMode="External"/><Relationship Id="rId126" Type="http://schemas.openxmlformats.org/officeDocument/2006/relationships/hyperlink" Target="https://www.uptodate.com/contents/3832#H7" TargetMode="External"/><Relationship Id="rId26" Type="http://schemas.openxmlformats.org/officeDocument/2006/relationships/hyperlink" Target="https://www.uptodate.com/contents/3575#H34" TargetMode="External"/><Relationship Id="rId121" Type="http://schemas.openxmlformats.org/officeDocument/2006/relationships/hyperlink" Target="https://uptodate.com/contents/9700" TargetMode="External"/><Relationship Id="rId25" Type="http://schemas.openxmlformats.org/officeDocument/2006/relationships/hyperlink" Target="https://www.uptodate.com/contents/3575#H34" TargetMode="External"/><Relationship Id="rId120" Type="http://schemas.openxmlformats.org/officeDocument/2006/relationships/hyperlink" Target="https://uptodate.com/contents/9700" TargetMode="External"/><Relationship Id="rId28" Type="http://schemas.openxmlformats.org/officeDocument/2006/relationships/hyperlink" Target="https://www.uptodate.com/contents/3575#H155744942" TargetMode="External"/><Relationship Id="rId27" Type="http://schemas.openxmlformats.org/officeDocument/2006/relationships/hyperlink" Target="https://www.uptodate.com/contents/3575#H155744942" TargetMode="External"/><Relationship Id="rId125" Type="http://schemas.openxmlformats.org/officeDocument/2006/relationships/hyperlink" Target="https://www.uptodate.com/contents/3832#H7" TargetMode="External"/><Relationship Id="rId29" Type="http://schemas.openxmlformats.org/officeDocument/2006/relationships/hyperlink" Target="https://www.uptodate.com/contents/3575#H2736199068" TargetMode="External"/><Relationship Id="rId124" Type="http://schemas.openxmlformats.org/officeDocument/2006/relationships/hyperlink" Target="https://www.uptodate.com/contents/1471#H8" TargetMode="External"/><Relationship Id="rId123" Type="http://schemas.openxmlformats.org/officeDocument/2006/relationships/hyperlink" Target="https://www.uptodate.com/contents/1471#H4" TargetMode="External"/><Relationship Id="rId122" Type="http://schemas.openxmlformats.org/officeDocument/2006/relationships/hyperlink" Target="https://www.uptodate.com/contents/1471#H4" TargetMode="External"/><Relationship Id="rId95" Type="http://schemas.openxmlformats.org/officeDocument/2006/relationships/hyperlink" Target="https://www.uptodate.com/contents/1669#H130221350" TargetMode="External"/><Relationship Id="rId94" Type="http://schemas.openxmlformats.org/officeDocument/2006/relationships/hyperlink" Target="https://www.uptodate.com/contents/1672#H31" TargetMode="External"/><Relationship Id="rId97" Type="http://schemas.openxmlformats.org/officeDocument/2006/relationships/hyperlink" Target="https://uptodate.com/contents/9700" TargetMode="External"/><Relationship Id="rId96" Type="http://schemas.openxmlformats.org/officeDocument/2006/relationships/hyperlink" Target="https://www.uptodate.com/contents/2946#H19" TargetMode="External"/><Relationship Id="rId11" Type="http://schemas.openxmlformats.org/officeDocument/2006/relationships/hyperlink" Target="https://www.uptodate.com/contents/3575#H155744942" TargetMode="External"/><Relationship Id="rId99" Type="http://schemas.openxmlformats.org/officeDocument/2006/relationships/hyperlink" Target="https://uptodate.com/contents/9645" TargetMode="External"/><Relationship Id="rId10" Type="http://schemas.openxmlformats.org/officeDocument/2006/relationships/hyperlink" Target="https://www.uptodate.com/contents/3575#H34" TargetMode="External"/><Relationship Id="rId98" Type="http://schemas.openxmlformats.org/officeDocument/2006/relationships/hyperlink" Target="https://uptodate.com/contents/9700" TargetMode="External"/><Relationship Id="rId13" Type="http://schemas.openxmlformats.org/officeDocument/2006/relationships/hyperlink" Target="https://www.uptodate.com/contents/3575#H34" TargetMode="External"/><Relationship Id="rId12" Type="http://schemas.openxmlformats.org/officeDocument/2006/relationships/hyperlink" Target="https://www.uptodate.com/contents/image?imageKey=127404&amp;source=expert-ai&amp;graphic-type=algorithm" TargetMode="External"/><Relationship Id="rId91" Type="http://schemas.openxmlformats.org/officeDocument/2006/relationships/hyperlink" Target="https://www.uptodate.com/contents/1669#H105127737" TargetMode="External"/><Relationship Id="rId90" Type="http://schemas.openxmlformats.org/officeDocument/2006/relationships/hyperlink" Target="https://www.uptodate.com/contents/1669#H11" TargetMode="External"/><Relationship Id="rId93" Type="http://schemas.openxmlformats.org/officeDocument/2006/relationships/hyperlink" Target="https://www.uptodate.com/contents/1672#H7" TargetMode="External"/><Relationship Id="rId92" Type="http://schemas.openxmlformats.org/officeDocument/2006/relationships/hyperlink" Target="https://www.uptodate.com/contents/1669#H2792704250" TargetMode="External"/><Relationship Id="rId118" Type="http://schemas.openxmlformats.org/officeDocument/2006/relationships/hyperlink" Target="https://www.uptodate.com/contents/1471#H14" TargetMode="External"/><Relationship Id="rId117" Type="http://schemas.openxmlformats.org/officeDocument/2006/relationships/hyperlink" Target="https://www.uptodate.com/contents/1471#H14" TargetMode="External"/><Relationship Id="rId116" Type="http://schemas.openxmlformats.org/officeDocument/2006/relationships/hyperlink" Target="https://uptodate.com/contents/9645" TargetMode="External"/><Relationship Id="rId115" Type="http://schemas.openxmlformats.org/officeDocument/2006/relationships/hyperlink" Target="https://uptodate.com/contents/9645" TargetMode="External"/><Relationship Id="rId119" Type="http://schemas.openxmlformats.org/officeDocument/2006/relationships/hyperlink" Target="https://www.uptodate.com/contents/1471#H20" TargetMode="External"/><Relationship Id="rId15" Type="http://schemas.openxmlformats.org/officeDocument/2006/relationships/hyperlink" Target="https://www.uptodate.com/contents/3575#H2736199068" TargetMode="External"/><Relationship Id="rId110" Type="http://schemas.openxmlformats.org/officeDocument/2006/relationships/hyperlink" Target="https://www.uptodate.com/contents/3832#H7" TargetMode="External"/><Relationship Id="rId14" Type="http://schemas.openxmlformats.org/officeDocument/2006/relationships/hyperlink" Target="https://www.uptodate.com/contents/3575#H155744942" TargetMode="External"/><Relationship Id="rId17" Type="http://schemas.openxmlformats.org/officeDocument/2006/relationships/hyperlink" Target="https://www.uptodate.com/contents/3575#H1950125625" TargetMode="External"/><Relationship Id="rId16" Type="http://schemas.openxmlformats.org/officeDocument/2006/relationships/hyperlink" Target="https://www.uptodate.com/contents/3575#H1723869990" TargetMode="External"/><Relationship Id="rId19" Type="http://schemas.openxmlformats.org/officeDocument/2006/relationships/hyperlink" Target="https://www.uptodate.com/contents/3575#H1950125625" TargetMode="External"/><Relationship Id="rId114" Type="http://schemas.openxmlformats.org/officeDocument/2006/relationships/hyperlink" Target="https://uptodate.com/contents/9700" TargetMode="External"/><Relationship Id="rId18" Type="http://schemas.openxmlformats.org/officeDocument/2006/relationships/hyperlink" Target="https://www.uptodate.com/contents/image?imageKey=127122&amp;source=expert-ai&amp;graphic-type=table" TargetMode="External"/><Relationship Id="rId113" Type="http://schemas.openxmlformats.org/officeDocument/2006/relationships/hyperlink" Target="https://uptodate.com/contents/9700" TargetMode="External"/><Relationship Id="rId112" Type="http://schemas.openxmlformats.org/officeDocument/2006/relationships/hyperlink" Target="https://www.uptodate.com/contents/3832#H15" TargetMode="External"/><Relationship Id="rId111" Type="http://schemas.openxmlformats.org/officeDocument/2006/relationships/hyperlink" Target="https://www.uptodate.com/contents/3832#H7" TargetMode="External"/><Relationship Id="rId84" Type="http://schemas.openxmlformats.org/officeDocument/2006/relationships/hyperlink" Target="https://ai.uptodate.com/" TargetMode="External"/><Relationship Id="rId83" Type="http://schemas.openxmlformats.org/officeDocument/2006/relationships/hyperlink" Target="https://ai.uptodate.com/" TargetMode="External"/><Relationship Id="rId86" Type="http://schemas.openxmlformats.org/officeDocument/2006/relationships/hyperlink" Target="https://ai.uptodate.com/" TargetMode="External"/><Relationship Id="rId85" Type="http://schemas.openxmlformats.org/officeDocument/2006/relationships/hyperlink" Target="https://ai.uptodate.com/" TargetMode="External"/><Relationship Id="rId88" Type="http://schemas.openxmlformats.org/officeDocument/2006/relationships/hyperlink" Target="https://www.uptodate.com/contents/1669#H105127731" TargetMode="External"/><Relationship Id="rId150" Type="http://schemas.openxmlformats.org/officeDocument/2006/relationships/hyperlink" Target="https://www.uptodate.com/contents/1471#H4" TargetMode="External"/><Relationship Id="rId87" Type="http://schemas.openxmlformats.org/officeDocument/2006/relationships/hyperlink" Target="https://www.uptodate.com/contents/1669#H817689" TargetMode="External"/><Relationship Id="rId89" Type="http://schemas.openxmlformats.org/officeDocument/2006/relationships/hyperlink" Target="https://www.uptodate.com/contents/1669#H170944346" TargetMode="External"/><Relationship Id="rId80" Type="http://schemas.openxmlformats.org/officeDocument/2006/relationships/hyperlink" Target="https://ai.uptodate.com/" TargetMode="External"/><Relationship Id="rId82" Type="http://schemas.openxmlformats.org/officeDocument/2006/relationships/hyperlink" Target="https://ai.uptodate.com/" TargetMode="External"/><Relationship Id="rId81" Type="http://schemas.openxmlformats.org/officeDocument/2006/relationships/hyperlink" Target="https://ai.uptoda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i.uptodate.com/" TargetMode="External"/><Relationship Id="rId4" Type="http://schemas.openxmlformats.org/officeDocument/2006/relationships/numbering" Target="numbering.xml"/><Relationship Id="rId148" Type="http://schemas.openxmlformats.org/officeDocument/2006/relationships/hyperlink" Target="https://ai.uptodate.com/" TargetMode="External"/><Relationship Id="rId9" Type="http://schemas.openxmlformats.org/officeDocument/2006/relationships/hyperlink" Target="https://www.uptodate.com/contents/3575#H34" TargetMode="External"/><Relationship Id="rId143" Type="http://schemas.openxmlformats.org/officeDocument/2006/relationships/hyperlink" Target="https://uptodate.com/contents/9700" TargetMode="External"/><Relationship Id="rId142" Type="http://schemas.openxmlformats.org/officeDocument/2006/relationships/hyperlink" Target="https://www.uptodate.com/contents/3832#H7" TargetMode="External"/><Relationship Id="rId141" Type="http://schemas.openxmlformats.org/officeDocument/2006/relationships/hyperlink" Target="https://www.uptodate.com/contents/1471#H20" TargetMode="External"/><Relationship Id="rId140" Type="http://schemas.openxmlformats.org/officeDocument/2006/relationships/hyperlink" Target="https://www.uptodate.com/contents/1471#H14" TargetMode="External"/><Relationship Id="rId5" Type="http://schemas.openxmlformats.org/officeDocument/2006/relationships/styles" Target="styles.xml"/><Relationship Id="rId147" Type="http://schemas.openxmlformats.org/officeDocument/2006/relationships/hyperlink" Target="https://ai.uptodate.com/" TargetMode="External"/><Relationship Id="rId6" Type="http://schemas.openxmlformats.org/officeDocument/2006/relationships/hyperlink" Target="https://www.uptodate.com/contents/3575#H2366010389" TargetMode="External"/><Relationship Id="rId146" Type="http://schemas.openxmlformats.org/officeDocument/2006/relationships/hyperlink" Target="https://ai.uptodate.com/" TargetMode="External"/><Relationship Id="rId7" Type="http://schemas.openxmlformats.org/officeDocument/2006/relationships/hyperlink" Target="https://www.uptodate.com/contents/3575#H34" TargetMode="External"/><Relationship Id="rId145" Type="http://schemas.openxmlformats.org/officeDocument/2006/relationships/hyperlink" Target="https://ai.uptodate.com/" TargetMode="External"/><Relationship Id="rId8" Type="http://schemas.openxmlformats.org/officeDocument/2006/relationships/hyperlink" Target="https://www.uptodate.com/contents/3575#H2366010389" TargetMode="External"/><Relationship Id="rId144" Type="http://schemas.openxmlformats.org/officeDocument/2006/relationships/hyperlink" Target="https://www.uptodate.com/contents/1471#H4" TargetMode="External"/><Relationship Id="rId73" Type="http://schemas.openxmlformats.org/officeDocument/2006/relationships/hyperlink" Target="https://www.uptodate.com/contents/2946#H19" TargetMode="External"/><Relationship Id="rId72" Type="http://schemas.openxmlformats.org/officeDocument/2006/relationships/hyperlink" Target="https://www.uptodate.com/contents/2946#H19" TargetMode="External"/><Relationship Id="rId75" Type="http://schemas.openxmlformats.org/officeDocument/2006/relationships/hyperlink" Target="https://www.uptodate.com/contents/1669#H170944346" TargetMode="External"/><Relationship Id="rId74" Type="http://schemas.openxmlformats.org/officeDocument/2006/relationships/hyperlink" Target="https://www.uptodate.com/contents/1669#H817689" TargetMode="External"/><Relationship Id="rId77" Type="http://schemas.openxmlformats.org/officeDocument/2006/relationships/hyperlink" Target="https://www.uptodate.com/contents/1669#H170944346" TargetMode="External"/><Relationship Id="rId76" Type="http://schemas.openxmlformats.org/officeDocument/2006/relationships/hyperlink" Target="https://www.uptodate.com/contents/1669#H11" TargetMode="External"/><Relationship Id="rId79" Type="http://schemas.openxmlformats.org/officeDocument/2006/relationships/hyperlink" Target="https://www.uptodate.com/contents/1672#H7" TargetMode="External"/><Relationship Id="rId78" Type="http://schemas.openxmlformats.org/officeDocument/2006/relationships/hyperlink" Target="https://www.uptodate.com/contents/1669#H105127731" TargetMode="External"/><Relationship Id="rId71" Type="http://schemas.openxmlformats.org/officeDocument/2006/relationships/hyperlink" Target="https://uptodate.com/contents/8439" TargetMode="External"/><Relationship Id="rId70" Type="http://schemas.openxmlformats.org/officeDocument/2006/relationships/hyperlink" Target="https://uptodate.com/contents/8439" TargetMode="External"/><Relationship Id="rId139" Type="http://schemas.openxmlformats.org/officeDocument/2006/relationships/hyperlink" Target="https://www.uptodate.com/contents/1471#H4" TargetMode="External"/><Relationship Id="rId138" Type="http://schemas.openxmlformats.org/officeDocument/2006/relationships/hyperlink" Target="https://uptodate.com/contents/9645" TargetMode="External"/><Relationship Id="rId137" Type="http://schemas.openxmlformats.org/officeDocument/2006/relationships/hyperlink" Target="https://uptodate.com/contents/9700" TargetMode="External"/><Relationship Id="rId132" Type="http://schemas.openxmlformats.org/officeDocument/2006/relationships/hyperlink" Target="https://www.uptodate.com/contents/1471#H4" TargetMode="External"/><Relationship Id="rId131" Type="http://schemas.openxmlformats.org/officeDocument/2006/relationships/hyperlink" Target="https://www.uptodate.com/contents/1471#H14" TargetMode="External"/><Relationship Id="rId130" Type="http://schemas.openxmlformats.org/officeDocument/2006/relationships/hyperlink" Target="https://www.uptodate.com/contents/1471#H4" TargetMode="External"/><Relationship Id="rId136" Type="http://schemas.openxmlformats.org/officeDocument/2006/relationships/hyperlink" Target="https://www.uptodate.com/contents/1471#H14" TargetMode="External"/><Relationship Id="rId135" Type="http://schemas.openxmlformats.org/officeDocument/2006/relationships/hyperlink" Target="https://www.uptodate.com/contents/1471#H4" TargetMode="External"/><Relationship Id="rId134" Type="http://schemas.openxmlformats.org/officeDocument/2006/relationships/hyperlink" Target="https://www.uptodate.com/contents/1471#H14" TargetMode="External"/><Relationship Id="rId133" Type="http://schemas.openxmlformats.org/officeDocument/2006/relationships/hyperlink" Target="https://www.uptodate.com/contents/3832#H7" TargetMode="External"/><Relationship Id="rId62" Type="http://schemas.openxmlformats.org/officeDocument/2006/relationships/hyperlink" Target="https://www.uptodate.com/contents/1669#H2792704250" TargetMode="External"/><Relationship Id="rId61" Type="http://schemas.openxmlformats.org/officeDocument/2006/relationships/hyperlink" Target="https://www.uptodate.com/contents/1669#H105127737" TargetMode="External"/><Relationship Id="rId64" Type="http://schemas.openxmlformats.org/officeDocument/2006/relationships/hyperlink" Target="https://www.uptodate.com/contents/1669#H170944346" TargetMode="External"/><Relationship Id="rId63" Type="http://schemas.openxmlformats.org/officeDocument/2006/relationships/hyperlink" Target="https://www.uptodate.com/contents/1669#H2792704250" TargetMode="External"/><Relationship Id="rId66" Type="http://schemas.openxmlformats.org/officeDocument/2006/relationships/hyperlink" Target="https://www.uptodate.com/contents/1672#H7" TargetMode="External"/><Relationship Id="rId172" Type="http://schemas.openxmlformats.org/officeDocument/2006/relationships/hyperlink" Target="https://ai.uptodate.com/" TargetMode="External"/><Relationship Id="rId65" Type="http://schemas.openxmlformats.org/officeDocument/2006/relationships/hyperlink" Target="https://www.uptodate.com/contents/1669#H170944346" TargetMode="External"/><Relationship Id="rId171" Type="http://schemas.openxmlformats.org/officeDocument/2006/relationships/hyperlink" Target="https://ai.uptodate.com/" TargetMode="External"/><Relationship Id="rId68" Type="http://schemas.openxmlformats.org/officeDocument/2006/relationships/hyperlink" Target="https://www.uptodate.com/contents/1669#H105127731"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1672#H31" TargetMode="External"/><Relationship Id="rId60" Type="http://schemas.openxmlformats.org/officeDocument/2006/relationships/hyperlink" Target="https://www.uptodate.com/contents/1669#H105127737" TargetMode="External"/><Relationship Id="rId165" Type="http://schemas.openxmlformats.org/officeDocument/2006/relationships/hyperlink" Target="https://www.uptodate.com/contents/5464#H3128963104" TargetMode="External"/><Relationship Id="rId69" Type="http://schemas.openxmlformats.org/officeDocument/2006/relationships/hyperlink" Target="https://www.uptodate.com/contents/1669#H130221350" TargetMode="External"/><Relationship Id="rId164" Type="http://schemas.openxmlformats.org/officeDocument/2006/relationships/hyperlink" Target="https://www.uptodate.com/contents/5443#H3251070396" TargetMode="External"/><Relationship Id="rId163" Type="http://schemas.openxmlformats.org/officeDocument/2006/relationships/hyperlink" Target="https://www.uptodate.com/contents/5464#H3128963104" TargetMode="External"/><Relationship Id="rId162" Type="http://schemas.openxmlformats.org/officeDocument/2006/relationships/hyperlink" Target="https://www.uptodate.com/contents/5464#H3128963104"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www.uptodate.com/contents/5464#H3128963104" TargetMode="External"/><Relationship Id="rId166" Type="http://schemas.openxmlformats.org/officeDocument/2006/relationships/hyperlink" Target="https://www.uptodate.com/contents/5464#H3128963104" TargetMode="External"/><Relationship Id="rId51" Type="http://schemas.openxmlformats.org/officeDocument/2006/relationships/hyperlink" Target="https://www.uptodate.com/contents/1669#H817689" TargetMode="External"/><Relationship Id="rId50" Type="http://schemas.openxmlformats.org/officeDocument/2006/relationships/hyperlink" Target="https://www.uptodate.com/contents/3575#H1056904927" TargetMode="External"/><Relationship Id="rId53" Type="http://schemas.openxmlformats.org/officeDocument/2006/relationships/hyperlink" Target="https://www.uptodate.com/contents/1669#H105127731" TargetMode="External"/><Relationship Id="rId52" Type="http://schemas.openxmlformats.org/officeDocument/2006/relationships/hyperlink" Target="https://www.uptodate.com/contents/1669#H817689" TargetMode="External"/><Relationship Id="rId55" Type="http://schemas.openxmlformats.org/officeDocument/2006/relationships/hyperlink" Target="https://www.uptodate.com/contents/1669#H11" TargetMode="External"/><Relationship Id="rId161" Type="http://schemas.openxmlformats.org/officeDocument/2006/relationships/hyperlink" Target="https://www.uptodate.com/contents/5464#H3128963104" TargetMode="External"/><Relationship Id="rId54" Type="http://schemas.openxmlformats.org/officeDocument/2006/relationships/hyperlink" Target="https://www.uptodate.com/contents/1669#H170944346" TargetMode="External"/><Relationship Id="rId160" Type="http://schemas.openxmlformats.org/officeDocument/2006/relationships/hyperlink" Target="https://www.uptodate.com/contents/5464#H3128963104" TargetMode="External"/><Relationship Id="rId57" Type="http://schemas.openxmlformats.org/officeDocument/2006/relationships/hyperlink" Target="https://www.uptodate.com/contents/1669#H105127731" TargetMode="External"/><Relationship Id="rId56" Type="http://schemas.openxmlformats.org/officeDocument/2006/relationships/hyperlink" Target="https://www.uptodate.com/contents/1669#H105127731" TargetMode="External"/><Relationship Id="rId159" Type="http://schemas.openxmlformats.org/officeDocument/2006/relationships/hyperlink" Target="https://www.uptodate.com/contents/5464#H3128963104" TargetMode="External"/><Relationship Id="rId59" Type="http://schemas.openxmlformats.org/officeDocument/2006/relationships/hyperlink" Target="https://uptodate.com/contents/8439" TargetMode="External"/><Relationship Id="rId154" Type="http://schemas.openxmlformats.org/officeDocument/2006/relationships/hyperlink" Target="https://www.uptodate.com/contents/1471#H14" TargetMode="External"/><Relationship Id="rId58" Type="http://schemas.openxmlformats.org/officeDocument/2006/relationships/hyperlink" Target="https://uptodate.com/contents/8439" TargetMode="External"/><Relationship Id="rId153" Type="http://schemas.openxmlformats.org/officeDocument/2006/relationships/hyperlink" Target="https://www.uptodate.com/contents/3832#H15" TargetMode="External"/><Relationship Id="rId152" Type="http://schemas.openxmlformats.org/officeDocument/2006/relationships/hyperlink" Target="https://www.uptodate.com/contents/3832#H7" TargetMode="External"/><Relationship Id="rId151" Type="http://schemas.openxmlformats.org/officeDocument/2006/relationships/hyperlink" Target="https://www.uptodate.com/contents/3832#H3" TargetMode="External"/><Relationship Id="rId158" Type="http://schemas.openxmlformats.org/officeDocument/2006/relationships/hyperlink" Target="https://www.uptodate.com/contents/5464#H3128963104" TargetMode="External"/><Relationship Id="rId157" Type="http://schemas.openxmlformats.org/officeDocument/2006/relationships/hyperlink" Target="https://www.uptodate.com/contents/1471#H12" TargetMode="External"/><Relationship Id="rId156" Type="http://schemas.openxmlformats.org/officeDocument/2006/relationships/hyperlink" Target="https://www.uptodate.com/contents/1471#H8" TargetMode="External"/><Relationship Id="rId155" Type="http://schemas.openxmlformats.org/officeDocument/2006/relationships/hyperlink" Target="https://www.uptodate.com/contents/1471#H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