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o6fhcq5t0s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133</w:t>
      </w:r>
      <w:r w:rsidDel="00000000" w:rsidR="00000000" w:rsidRPr="00000000">
        <w:rPr>
          <w:rtl w:val="0"/>
        </w:rPr>
      </w:r>
    </w:p>
    <w:p w:rsidR="00000000" w:rsidDel="00000000" w:rsidP="00000000" w:rsidRDefault="00000000" w:rsidRPr="00000000" w14:paraId="0000000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a current bilirubin level is clinically significant, but you have not provided the actual value or whether it is total, direct (conjugated), or indirect (unconjugated) bilirubin. I am assuming you are referring to an adult patient and a serum bilirubin measurement.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line="390" w:lineRule="auto"/>
        <w:rPr>
          <w:color w:val="232323"/>
          <w:sz w:val="24"/>
          <w:szCs w:val="24"/>
        </w:rPr>
      </w:pPr>
      <w:r w:rsidDel="00000000" w:rsidR="00000000" w:rsidRPr="00000000">
        <w:rPr>
          <w:color w:val="232323"/>
          <w:sz w:val="24"/>
          <w:szCs w:val="24"/>
          <w:rtl w:val="0"/>
        </w:rPr>
        <w:t xml:space="preserve">The clinical significance of a bilirubin level depends on several factors:</w:t>
      </w:r>
    </w:p>
    <w:p w:rsidR="00000000" w:rsidDel="00000000" w:rsidP="00000000" w:rsidRDefault="00000000" w:rsidRPr="00000000" w14:paraId="00000005">
      <w:pPr>
        <w:numPr>
          <w:ilvl w:val="0"/>
          <w:numId w:val="11"/>
        </w:numPr>
        <w:shd w:fill="ffffff" w:val="clear"/>
        <w:spacing w:after="0" w:afterAutospacing="0" w:before="220" w:line="390" w:lineRule="auto"/>
        <w:ind w:left="720" w:hanging="360"/>
      </w:pPr>
      <w:r w:rsidDel="00000000" w:rsidR="00000000" w:rsidRPr="00000000">
        <w:rPr>
          <w:b w:val="1"/>
          <w:bCs w:val="1"/>
          <w:color w:val="232323"/>
          <w:sz w:val="24"/>
          <w:szCs w:val="24"/>
          <w:rtl w:val="0"/>
        </w:rPr>
        <w:t xml:space="preserve">Total serum bilirubin is not a sensitive indicator of hepatic dysfunction.</w:t>
      </w:r>
      <w:r w:rsidDel="00000000" w:rsidR="00000000" w:rsidRPr="00000000">
        <w:rPr>
          <w:color w:val="232323"/>
          <w:sz w:val="24"/>
          <w:szCs w:val="24"/>
          <w:rtl w:val="0"/>
        </w:rPr>
        <w:t xml:space="preserve"> It may be normal despite moderate to severe liver injury or partial/transient bile duct obstruction. Elevated bilirubin can result from overproduction, impaired uptake/conjugation/excretion, or leakage from damaged hepatocytes or bile ducts </w:t>
      </w:r>
      <w:hyperlink r:id="rId6">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06">
      <w:pPr>
        <w:numPr>
          <w:ilvl w:val="0"/>
          <w:numId w:val="11"/>
        </w:numPr>
        <w:shd w:fill="ffffff" w:val="clear"/>
        <w:spacing w:after="0" w:afterAutospacing="0" w:before="0" w:beforeAutospacing="0" w:line="390" w:lineRule="auto"/>
        <w:ind w:left="720" w:hanging="360"/>
      </w:pPr>
      <w:r w:rsidDel="00000000" w:rsidR="00000000" w:rsidRPr="00000000">
        <w:rPr>
          <w:b w:val="1"/>
          <w:bCs w:val="1"/>
          <w:color w:val="232323"/>
          <w:sz w:val="24"/>
          <w:szCs w:val="24"/>
          <w:rtl w:val="0"/>
        </w:rPr>
        <w:t xml:space="preserve">Fractionation (direct vs indirect) helps determine etiology:</w:t>
      </w:r>
    </w:p>
    <w:p w:rsidR="00000000" w:rsidDel="00000000" w:rsidP="00000000" w:rsidRDefault="00000000" w:rsidRPr="00000000" w14:paraId="00000007">
      <w:pPr>
        <w:numPr>
          <w:ilvl w:val="1"/>
          <w:numId w:val="11"/>
        </w:numPr>
        <w:spacing w:after="0" w:afterAutospacing="0" w:before="0" w:beforeAutospacing="0" w:line="390" w:lineRule="auto"/>
        <w:ind w:left="1440" w:hanging="360"/>
      </w:pPr>
      <w:r w:rsidDel="00000000" w:rsidR="00000000" w:rsidRPr="00000000">
        <w:rPr>
          <w:color w:val="232323"/>
          <w:sz w:val="24"/>
          <w:szCs w:val="24"/>
          <w:rtl w:val="0"/>
        </w:rPr>
        <w:t xml:space="preserve">Unconjugated (indirect) hyperbilirubinemia is usually due to overproduction or impaired uptake/conjugation. Consider this when indirect bilirubin is elevated and direct fraction is &lt;15% of total </w:t>
      </w:r>
      <w:hyperlink r:id="rId7">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8">
      <w:pPr>
        <w:numPr>
          <w:ilvl w:val="1"/>
          <w:numId w:val="11"/>
        </w:numPr>
        <w:spacing w:after="0" w:afterAutospacing="0" w:before="0" w:beforeAutospacing="0" w:line="390" w:lineRule="auto"/>
        <w:ind w:left="1440" w:hanging="360"/>
      </w:pPr>
      <w:r w:rsidDel="00000000" w:rsidR="00000000" w:rsidRPr="00000000">
        <w:rPr>
          <w:color w:val="232323"/>
          <w:sz w:val="24"/>
          <w:szCs w:val="24"/>
          <w:rtl w:val="0"/>
        </w:rPr>
        <w:t xml:space="preserve">Conjugated (direct) hyperbilirubinemia is more commonly due to decreased excretion or backward leakage (e.g., biliary obstruction) and is a more sensitive indicator of hepatic dysfunction. Direct bilirubin above 0.3 mg/dL (diazo method) or above 0.1 mg/dL (more accurate methods) should raise suspicion for liver injury </w:t>
      </w:r>
      <w:hyperlink r:id="rId8">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9">
      <w:pPr>
        <w:numPr>
          <w:ilvl w:val="0"/>
          <w:numId w:val="11"/>
        </w:numPr>
        <w:shd w:fill="ffffff" w:val="clear"/>
        <w:spacing w:after="0" w:afterAutospacing="0" w:before="0" w:beforeAutospacing="0" w:line="390" w:lineRule="auto"/>
        <w:ind w:left="720" w:hanging="360"/>
      </w:pPr>
      <w:r w:rsidDel="00000000" w:rsidR="00000000" w:rsidRPr="00000000">
        <w:rPr>
          <w:b w:val="1"/>
          <w:bCs w:val="1"/>
          <w:color w:val="232323"/>
          <w:sz w:val="24"/>
          <w:szCs w:val="24"/>
          <w:rtl w:val="0"/>
        </w:rPr>
        <w:t xml:space="preserve">Prognostic value:</w:t>
      </w:r>
    </w:p>
    <w:p w:rsidR="00000000" w:rsidDel="00000000" w:rsidP="00000000" w:rsidRDefault="00000000" w:rsidRPr="00000000" w14:paraId="0000000A">
      <w:pPr>
        <w:numPr>
          <w:ilvl w:val="1"/>
          <w:numId w:val="11"/>
        </w:numPr>
        <w:spacing w:after="0" w:afterAutospacing="0" w:before="0" w:beforeAutospacing="0" w:line="390" w:lineRule="auto"/>
        <w:ind w:left="1440" w:hanging="360"/>
      </w:pPr>
      <w:r w:rsidDel="00000000" w:rsidR="00000000" w:rsidRPr="00000000">
        <w:rPr>
          <w:color w:val="232323"/>
          <w:sz w:val="24"/>
          <w:szCs w:val="24"/>
          <w:rtl w:val="0"/>
        </w:rPr>
        <w:t xml:space="preserve">Higher bilirubin in viral hepatitis correlates with more severe hepatocellular damage and longer disease course </w:t>
      </w:r>
      <w:hyperlink r:id="rId9">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0B">
      <w:pPr>
        <w:numPr>
          <w:ilvl w:val="1"/>
          <w:numId w:val="11"/>
        </w:numPr>
        <w:spacing w:after="0" w:afterAutospacing="0" w:before="0" w:beforeAutospacing="0" w:line="390" w:lineRule="auto"/>
        <w:ind w:left="1440" w:hanging="360"/>
      </w:pPr>
      <w:r w:rsidDel="00000000" w:rsidR="00000000" w:rsidRPr="00000000">
        <w:rPr>
          <w:color w:val="232323"/>
          <w:sz w:val="24"/>
          <w:szCs w:val="24"/>
          <w:rtl w:val="0"/>
        </w:rPr>
        <w:t xml:space="preserve">Bilirubin &gt;5 mg/dL is associated with poor prognosis in alcohol-associated hepatitis </w:t>
      </w:r>
      <w:hyperlink r:id="rId10">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0C">
      <w:pPr>
        <w:numPr>
          <w:ilvl w:val="1"/>
          <w:numId w:val="11"/>
        </w:numPr>
        <w:spacing w:after="0" w:afterAutospacing="0" w:before="0" w:beforeAutospacing="0" w:line="390" w:lineRule="auto"/>
        <w:ind w:left="1440" w:hanging="360"/>
      </w:pPr>
      <w:r w:rsidDel="00000000" w:rsidR="00000000" w:rsidRPr="00000000">
        <w:rPr>
          <w:color w:val="232323"/>
          <w:sz w:val="24"/>
          <w:szCs w:val="24"/>
          <w:rtl w:val="0"/>
        </w:rPr>
        <w:t xml:space="preserve">Rising bilirubin suggests poor prognosis in primary biliary cholangitis </w:t>
      </w:r>
      <w:hyperlink r:id="rId11">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0D">
      <w:pPr>
        <w:numPr>
          <w:ilvl w:val="1"/>
          <w:numId w:val="11"/>
        </w:numPr>
        <w:spacing w:after="0" w:afterAutospacing="0" w:before="0" w:beforeAutospacing="0" w:line="390" w:lineRule="auto"/>
        <w:ind w:left="1440" w:hanging="360"/>
      </w:pPr>
      <w:r w:rsidDel="00000000" w:rsidR="00000000" w:rsidRPr="00000000">
        <w:rPr>
          <w:color w:val="232323"/>
          <w:sz w:val="24"/>
          <w:szCs w:val="24"/>
          <w:rtl w:val="0"/>
        </w:rPr>
        <w:t xml:space="preserve">However, patients may die of acute liver failure with only modest bilirubin elevations, and other conditions (e.g., hemolysis, kidney dysfunction) can cause disproportionate hyperbilirubinemia </w:t>
      </w:r>
      <w:hyperlink r:id="rId12">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0E">
      <w:pPr>
        <w:numPr>
          <w:ilvl w:val="0"/>
          <w:numId w:val="11"/>
        </w:numPr>
        <w:shd w:fill="ffffff" w:val="clear"/>
        <w:spacing w:after="0" w:afterAutospacing="0" w:before="0" w:beforeAutospacing="0" w:line="390" w:lineRule="auto"/>
        <w:ind w:left="720" w:hanging="360"/>
      </w:pPr>
      <w:r w:rsidDel="00000000" w:rsidR="00000000" w:rsidRPr="00000000">
        <w:rPr>
          <w:b w:val="1"/>
          <w:bCs w:val="1"/>
          <w:color w:val="232323"/>
          <w:sz w:val="24"/>
          <w:szCs w:val="24"/>
          <w:rtl w:val="0"/>
        </w:rPr>
        <w:t xml:space="preserve">Normal range:</w:t>
      </w:r>
    </w:p>
    <w:p w:rsidR="00000000" w:rsidDel="00000000" w:rsidP="00000000" w:rsidRDefault="00000000" w:rsidRPr="00000000" w14:paraId="0000000F">
      <w:pPr>
        <w:numPr>
          <w:ilvl w:val="1"/>
          <w:numId w:val="11"/>
        </w:numPr>
        <w:spacing w:after="0" w:afterAutospacing="0" w:before="0" w:beforeAutospacing="0" w:line="390" w:lineRule="auto"/>
        <w:ind w:left="1440" w:hanging="360"/>
      </w:pPr>
      <w:r w:rsidDel="00000000" w:rsidR="00000000" w:rsidRPr="00000000">
        <w:rPr>
          <w:color w:val="232323"/>
          <w:sz w:val="24"/>
          <w:szCs w:val="24"/>
          <w:rtl w:val="0"/>
        </w:rPr>
        <w:t xml:space="preserve">In healthy adults, total serum bilirubin is typically below 1 mg/dL </w:t>
      </w:r>
      <w:hyperlink r:id="rId13">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10">
      <w:pPr>
        <w:numPr>
          <w:ilvl w:val="1"/>
          <w:numId w:val="11"/>
        </w:numPr>
        <w:spacing w:before="0" w:beforeAutospacing="0" w:line="390" w:lineRule="auto"/>
        <w:ind w:left="1440" w:hanging="360"/>
      </w:pPr>
      <w:r w:rsidDel="00000000" w:rsidR="00000000" w:rsidRPr="00000000">
        <w:rPr>
          <w:color w:val="232323"/>
          <w:sz w:val="24"/>
          <w:szCs w:val="24"/>
          <w:rtl w:val="0"/>
        </w:rPr>
        <w:t xml:space="preserve">Virtually all bilirubin in healthy people is unconjugated; conjugated hyperbilirubinemia occurs only in hepatobiliary diseases </w:t>
      </w:r>
      <w:hyperlink r:id="rId14">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11">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12">
      <w:pPr>
        <w:shd w:fill="ffffff" w:val="clear"/>
        <w:spacing w:line="390" w:lineRule="auto"/>
        <w:rPr>
          <w:color w:val="232323"/>
          <w:sz w:val="24"/>
          <w:szCs w:val="24"/>
        </w:rPr>
      </w:pPr>
      <w:r w:rsidDel="00000000" w:rsidR="00000000" w:rsidRPr="00000000">
        <w:rPr>
          <w:color w:val="232323"/>
          <w:sz w:val="24"/>
          <w:szCs w:val="24"/>
          <w:rtl w:val="0"/>
        </w:rPr>
        <w:t xml:space="preserve">In summary, whether a bilirubin level is clinically significant depends on the context (pattern of elevation, associated symptoms, and underlying conditions). Isolated mild elevation may be benign (e.g., Gilbert syndrome), while higher or rising levels, especially of the conjugated fraction, may indicate significant liver disease or poor prognosis</w:t>
      </w:r>
      <w:hyperlink r:id="rId15">
        <w:r w:rsidDel="00000000" w:rsidR="00000000" w:rsidRPr="00000000">
          <w:rPr>
            <w:color w:val="232323"/>
            <w:sz w:val="24"/>
            <w:szCs w:val="24"/>
            <w:rtl w:val="0"/>
          </w:rPr>
          <w:t xml:space="preserve"> </w:t>
        </w:r>
      </w:hyperlink>
      <w:hyperlink r:id="rId16">
        <w:r w:rsidDel="00000000" w:rsidR="00000000" w:rsidRPr="00000000">
          <w:rPr>
            <w:color w:val="0074b9"/>
            <w:sz w:val="24"/>
            <w:szCs w:val="24"/>
            <w:rtl w:val="0"/>
          </w:rPr>
          <w:t xml:space="preserve">[1]</w:t>
        </w:r>
      </w:hyperlink>
      <w:hyperlink r:id="rId17">
        <w:r w:rsidDel="00000000" w:rsidR="00000000" w:rsidRPr="00000000">
          <w:rPr>
            <w:color w:val="0074b9"/>
            <w:sz w:val="24"/>
            <w:szCs w:val="24"/>
            <w:rtl w:val="0"/>
          </w:rPr>
          <w:t xml:space="preserve">[2]</w:t>
        </w:r>
      </w:hyperlink>
      <w:hyperlink r:id="rId18">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13">
      <w:pPr>
        <w:pStyle w:val="Heading3"/>
        <w:keepNext w:val="0"/>
        <w:keepLines w:val="0"/>
        <w:shd w:fill="ffffff" w:val="clear"/>
        <w:spacing w:after="40" w:before="460" w:line="346.66666666666663" w:lineRule="auto"/>
        <w:rPr>
          <w:b w:val="1"/>
          <w:bCs w:val="1"/>
          <w:color w:val="232323"/>
          <w:sz w:val="27"/>
          <w:szCs w:val="27"/>
        </w:rPr>
      </w:pPr>
      <w:bookmarkStart w:colFirst="0" w:colLast="0" w:name="_b5lfwlptl8g5" w:id="1"/>
      <w:bookmarkEnd w:id="1"/>
      <w:r w:rsidDel="00000000" w:rsidR="00000000" w:rsidRPr="00000000">
        <w:rPr>
          <w:b w:val="1"/>
          <w:bCs w:val="1"/>
          <w:color w:val="232323"/>
          <w:sz w:val="27"/>
          <w:szCs w:val="27"/>
          <w:rtl w:val="0"/>
        </w:rPr>
        <w:t xml:space="preserve">Learn More</w:t>
      </w:r>
    </w:p>
    <w:p w:rsidR="00000000" w:rsidDel="00000000" w:rsidP="00000000" w:rsidRDefault="00000000" w:rsidRPr="00000000" w14:paraId="00000014">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5">
      <w:pPr>
        <w:numPr>
          <w:ilvl w:val="0"/>
          <w:numId w:val="12"/>
        </w:numPr>
        <w:shd w:fill="ffffff" w:val="clear"/>
        <w:spacing w:after="0" w:afterAutospacing="0" w:before="220" w:line="390" w:lineRule="auto"/>
        <w:ind w:left="720" w:hanging="360"/>
      </w:pPr>
      <w:hyperlink r:id="rId19">
        <w:r w:rsidDel="00000000" w:rsidR="00000000" w:rsidRPr="00000000">
          <w:rPr>
            <w:color w:val="0074b9"/>
            <w:sz w:val="24"/>
            <w:szCs w:val="24"/>
            <w:rtl w:val="0"/>
          </w:rPr>
          <w:t xml:space="preserve">What is the actual bilirubin value and fractionation (direct vs indirect)?</w:t>
        </w:r>
      </w:hyperlink>
      <w:r w:rsidDel="00000000" w:rsidR="00000000" w:rsidRPr="00000000">
        <w:rPr>
          <w:rtl w:val="0"/>
        </w:rPr>
      </w:r>
    </w:p>
    <w:p w:rsidR="00000000" w:rsidDel="00000000" w:rsidP="00000000" w:rsidRDefault="00000000" w:rsidRPr="00000000" w14:paraId="00000016">
      <w:pPr>
        <w:numPr>
          <w:ilvl w:val="0"/>
          <w:numId w:val="12"/>
        </w:numPr>
        <w:shd w:fill="ffffff" w:val="clear"/>
        <w:spacing w:after="0" w:afterAutospacing="0" w:before="0" w:beforeAutospacing="0" w:line="390" w:lineRule="auto"/>
        <w:ind w:left="720" w:hanging="360"/>
      </w:pPr>
      <w:hyperlink r:id="rId20">
        <w:r w:rsidDel="00000000" w:rsidR="00000000" w:rsidRPr="00000000">
          <w:rPr>
            <w:color w:val="0074b9"/>
            <w:sz w:val="24"/>
            <w:szCs w:val="24"/>
            <w:rtl w:val="0"/>
          </w:rPr>
          <w:t xml:space="preserve">Is the patient symptomatic (e.g., jaundice, pruritus, abdominal pain)?</w:t>
        </w:r>
      </w:hyperlink>
      <w:r w:rsidDel="00000000" w:rsidR="00000000" w:rsidRPr="00000000">
        <w:rPr>
          <w:rtl w:val="0"/>
        </w:rPr>
      </w:r>
    </w:p>
    <w:p w:rsidR="00000000" w:rsidDel="00000000" w:rsidP="00000000" w:rsidRDefault="00000000" w:rsidRPr="00000000" w14:paraId="00000017">
      <w:pPr>
        <w:numPr>
          <w:ilvl w:val="0"/>
          <w:numId w:val="12"/>
        </w:numPr>
        <w:shd w:fill="ffffff" w:val="clear"/>
        <w:spacing w:after="0" w:afterAutospacing="0" w:before="0" w:beforeAutospacing="0" w:line="390" w:lineRule="auto"/>
        <w:ind w:left="720" w:hanging="360"/>
      </w:pPr>
      <w:hyperlink r:id="rId21">
        <w:r w:rsidDel="00000000" w:rsidR="00000000" w:rsidRPr="00000000">
          <w:rPr>
            <w:color w:val="0074b9"/>
            <w:sz w:val="24"/>
            <w:szCs w:val="24"/>
            <w:rtl w:val="0"/>
          </w:rPr>
          <w:t xml:space="preserve">Are other liver tests (ALT, AST, alkaline phosphatase) abnormal?</w:t>
        </w:r>
      </w:hyperlink>
      <w:r w:rsidDel="00000000" w:rsidR="00000000" w:rsidRPr="00000000">
        <w:rPr>
          <w:rtl w:val="0"/>
        </w:rPr>
      </w:r>
    </w:p>
    <w:p w:rsidR="00000000" w:rsidDel="00000000" w:rsidP="00000000" w:rsidRDefault="00000000" w:rsidRPr="00000000" w14:paraId="00000018">
      <w:pPr>
        <w:numPr>
          <w:ilvl w:val="0"/>
          <w:numId w:val="12"/>
        </w:numPr>
        <w:shd w:fill="ffffff" w:val="clear"/>
        <w:spacing w:after="0" w:afterAutospacing="0" w:before="0" w:beforeAutospacing="0" w:line="390" w:lineRule="auto"/>
        <w:ind w:left="720" w:hanging="360"/>
      </w:pPr>
      <w:hyperlink r:id="rId22">
        <w:r w:rsidDel="00000000" w:rsidR="00000000" w:rsidRPr="00000000">
          <w:rPr>
            <w:color w:val="0074b9"/>
            <w:sz w:val="24"/>
            <w:szCs w:val="24"/>
            <w:rtl w:val="0"/>
          </w:rPr>
          <w:t xml:space="preserve">Is there a history of hemolysis, liver disease, or risk factors for hepatitis?</w:t>
        </w:r>
      </w:hyperlink>
      <w:r w:rsidDel="00000000" w:rsidR="00000000" w:rsidRPr="00000000">
        <w:rPr>
          <w:rtl w:val="0"/>
        </w:rPr>
      </w:r>
    </w:p>
    <w:p w:rsidR="00000000" w:rsidDel="00000000" w:rsidP="00000000" w:rsidRDefault="00000000" w:rsidRPr="00000000" w14:paraId="00000019">
      <w:pPr>
        <w:numPr>
          <w:ilvl w:val="0"/>
          <w:numId w:val="12"/>
        </w:numPr>
        <w:shd w:fill="ffffff" w:val="clear"/>
        <w:spacing w:after="0" w:afterAutospacing="0" w:before="0" w:beforeAutospacing="0" w:line="390" w:lineRule="auto"/>
        <w:ind w:left="720" w:hanging="360"/>
      </w:pPr>
      <w:hyperlink r:id="rId23">
        <w:r w:rsidDel="00000000" w:rsidR="00000000" w:rsidRPr="00000000">
          <w:rPr>
            <w:color w:val="0074b9"/>
            <w:sz w:val="24"/>
            <w:szCs w:val="24"/>
            <w:rtl w:val="0"/>
          </w:rPr>
          <w:t xml:space="preserve">What is the trend in bilirubin levels over time?</w:t>
        </w:r>
      </w:hyperlink>
      <w:r w:rsidDel="00000000" w:rsidR="00000000" w:rsidRPr="00000000">
        <w:rPr>
          <w:rtl w:val="0"/>
        </w:rPr>
      </w:r>
    </w:p>
    <w:p w:rsidR="00000000" w:rsidDel="00000000" w:rsidP="00000000" w:rsidRDefault="00000000" w:rsidRPr="00000000" w14:paraId="0000001A">
      <w:pPr>
        <w:numPr>
          <w:ilvl w:val="0"/>
          <w:numId w:val="12"/>
        </w:numPr>
        <w:shd w:fill="ffffff" w:val="clear"/>
        <w:spacing w:after="0" w:afterAutospacing="0" w:before="0" w:beforeAutospacing="0" w:line="390" w:lineRule="auto"/>
        <w:ind w:left="720" w:hanging="360"/>
      </w:pPr>
      <w:hyperlink r:id="rId24">
        <w:r w:rsidDel="00000000" w:rsidR="00000000" w:rsidRPr="00000000">
          <w:rPr>
            <w:color w:val="0074b9"/>
            <w:sz w:val="24"/>
            <w:szCs w:val="24"/>
            <w:rtl w:val="0"/>
          </w:rPr>
          <w:t xml:space="preserve">Is there evidence of biliary obstruction or cholestasis?</w:t>
        </w:r>
      </w:hyperlink>
      <w:r w:rsidDel="00000000" w:rsidR="00000000" w:rsidRPr="00000000">
        <w:rPr>
          <w:rtl w:val="0"/>
        </w:rPr>
      </w:r>
    </w:p>
    <w:p w:rsidR="00000000" w:rsidDel="00000000" w:rsidP="00000000" w:rsidRDefault="00000000" w:rsidRPr="00000000" w14:paraId="0000001B">
      <w:pPr>
        <w:numPr>
          <w:ilvl w:val="0"/>
          <w:numId w:val="12"/>
        </w:numPr>
        <w:shd w:fill="ffffff" w:val="clear"/>
        <w:spacing w:before="0" w:beforeAutospacing="0" w:line="390" w:lineRule="auto"/>
        <w:ind w:left="720" w:hanging="360"/>
      </w:pPr>
      <w:hyperlink r:id="rId25">
        <w:r w:rsidDel="00000000" w:rsidR="00000000" w:rsidRPr="00000000">
          <w:rPr>
            <w:color w:val="0074b9"/>
            <w:sz w:val="24"/>
            <w:szCs w:val="24"/>
            <w:rtl w:val="0"/>
          </w:rPr>
          <w:t xml:space="preserve">What is the patient's age and comorbidities?</w:t>
        </w:r>
      </w:hyperlink>
      <w:r w:rsidDel="00000000" w:rsidR="00000000" w:rsidRPr="00000000">
        <w:rPr>
          <w:rtl w:val="0"/>
        </w:rPr>
      </w:r>
    </w:p>
    <w:p w:rsidR="00000000" w:rsidDel="00000000" w:rsidP="00000000" w:rsidRDefault="00000000" w:rsidRPr="00000000" w14:paraId="0000001C">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about interpreting bilirubin results in specific clinical scenarios.</w:t>
      </w:r>
    </w:p>
    <w:p w:rsidR="00000000" w:rsidDel="00000000" w:rsidP="00000000" w:rsidRDefault="00000000" w:rsidRPr="00000000" w14:paraId="0000001D">
      <w:pPr>
        <w:pStyle w:val="Heading3"/>
        <w:keepNext w:val="0"/>
        <w:keepLines w:val="0"/>
        <w:shd w:fill="ffffff" w:val="clear"/>
        <w:spacing w:after="40" w:before="460" w:line="346.66666666666663" w:lineRule="auto"/>
        <w:rPr>
          <w:b w:val="1"/>
          <w:bCs w:val="1"/>
          <w:color w:val="232323"/>
          <w:sz w:val="27"/>
          <w:szCs w:val="27"/>
        </w:rPr>
      </w:pPr>
      <w:bookmarkStart w:colFirst="0" w:colLast="0" w:name="_8f343l117z63" w:id="2"/>
      <w:bookmarkEnd w:id="2"/>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1E">
      <w:pPr>
        <w:numPr>
          <w:ilvl w:val="0"/>
          <w:numId w:val="7"/>
        </w:numPr>
        <w:shd w:fill="ffffff" w:val="clear"/>
        <w:spacing w:after="0" w:afterAutospacing="0" w:before="240" w:lineRule="auto"/>
        <w:ind w:left="720" w:hanging="360"/>
      </w:pPr>
      <w:hyperlink r:id="rId26">
        <w:r w:rsidDel="00000000" w:rsidR="00000000" w:rsidRPr="00000000">
          <w:rPr>
            <w:color w:val="0074b9"/>
            <w:sz w:val="24"/>
            <w:szCs w:val="24"/>
            <w:rtl w:val="0"/>
          </w:rPr>
          <w:t xml:space="preserve">Overview of liver biochemical tests &gt; LIVER TESTS THAT REFLECT CHOLESTASIS &gt; Bilirubin &gt; Clinical interpretation &gt; Total serum bilirubin</w:t>
        </w:r>
      </w:hyperlink>
      <w:r w:rsidDel="00000000" w:rsidR="00000000" w:rsidRPr="00000000">
        <w:rPr>
          <w:rtl w:val="0"/>
        </w:rPr>
      </w:r>
    </w:p>
    <w:p w:rsidR="00000000" w:rsidDel="00000000" w:rsidP="00000000" w:rsidRDefault="00000000" w:rsidRPr="00000000" w14:paraId="0000001F">
      <w:pPr>
        <w:numPr>
          <w:ilvl w:val="0"/>
          <w:numId w:val="7"/>
        </w:numPr>
        <w:shd w:fill="ffffff" w:val="clear"/>
        <w:spacing w:after="0" w:afterAutospacing="0" w:before="0" w:beforeAutospacing="0" w:lineRule="auto"/>
        <w:ind w:left="720" w:hanging="360"/>
      </w:pPr>
      <w:hyperlink r:id="rId27">
        <w:r w:rsidDel="00000000" w:rsidR="00000000" w:rsidRPr="00000000">
          <w:rPr>
            <w:color w:val="0074b9"/>
            <w:sz w:val="24"/>
            <w:szCs w:val="24"/>
            <w:rtl w:val="0"/>
          </w:rPr>
          <w:t xml:space="preserve">Overview of liver biochemical tests &gt; LIVER TESTS THAT REFLECT CHOLESTASIS &gt; Bilirubin &gt; Clinical interpretation &gt; Unconjugated and conjugated bilirubin</w:t>
        </w:r>
      </w:hyperlink>
      <w:r w:rsidDel="00000000" w:rsidR="00000000" w:rsidRPr="00000000">
        <w:rPr>
          <w:rtl w:val="0"/>
        </w:rPr>
      </w:r>
    </w:p>
    <w:p w:rsidR="00000000" w:rsidDel="00000000" w:rsidP="00000000" w:rsidRDefault="00000000" w:rsidRPr="00000000" w14:paraId="00000020">
      <w:pPr>
        <w:numPr>
          <w:ilvl w:val="0"/>
          <w:numId w:val="7"/>
        </w:numPr>
        <w:shd w:fill="ffffff" w:val="clear"/>
        <w:spacing w:after="0" w:afterAutospacing="0" w:before="0" w:beforeAutospacing="0" w:lineRule="auto"/>
        <w:ind w:left="720" w:hanging="360"/>
      </w:pPr>
      <w:hyperlink r:id="rId28">
        <w:r w:rsidDel="00000000" w:rsidR="00000000" w:rsidRPr="00000000">
          <w:rPr>
            <w:color w:val="0074b9"/>
            <w:sz w:val="24"/>
            <w:szCs w:val="24"/>
            <w:rtl w:val="0"/>
          </w:rPr>
          <w:t xml:space="preserve">Overview of liver biochemical tests &gt; LIVER TESTS THAT REFLECT CHOLESTASIS &gt; Bilirubin &gt; Measurement of serum bilirubin</w:t>
        </w:r>
      </w:hyperlink>
      <w:r w:rsidDel="00000000" w:rsidR="00000000" w:rsidRPr="00000000">
        <w:rPr>
          <w:rtl w:val="0"/>
        </w:rPr>
      </w:r>
    </w:p>
    <w:p w:rsidR="00000000" w:rsidDel="00000000" w:rsidP="00000000" w:rsidRDefault="00000000" w:rsidRPr="00000000" w14:paraId="00000021">
      <w:pPr>
        <w:numPr>
          <w:ilvl w:val="0"/>
          <w:numId w:val="7"/>
        </w:numPr>
        <w:shd w:fill="ffffff" w:val="clear"/>
        <w:spacing w:before="0" w:beforeAutospacing="0" w:lineRule="auto"/>
        <w:ind w:left="720" w:hanging="360"/>
      </w:pPr>
      <w:hyperlink r:id="rId29">
        <w:r w:rsidDel="00000000" w:rsidR="00000000" w:rsidRPr="00000000">
          <w:rPr>
            <w:color w:val="0074b9"/>
            <w:sz w:val="24"/>
            <w:szCs w:val="24"/>
            <w:rtl w:val="0"/>
          </w:rPr>
          <w:t xml:space="preserve">Overview of liver biochemical tests &gt; LIVER TESTS THAT REFLECT CHOLESTASIS &gt; Bilirubin &gt; Clinical interpretation &gt; Normal range</w:t>
        </w:r>
      </w:hyperlink>
      <w:r w:rsidDel="00000000" w:rsidR="00000000" w:rsidRPr="00000000">
        <w:rPr>
          <w:rtl w:val="0"/>
        </w:rPr>
      </w:r>
    </w:p>
    <w:p w:rsidR="00000000" w:rsidDel="00000000" w:rsidP="00000000" w:rsidRDefault="00000000" w:rsidRPr="00000000" w14:paraId="0000002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zx9x2zcc1cp"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134</w:t>
      </w:r>
      <w:r w:rsidDel="00000000" w:rsidR="00000000" w:rsidRPr="00000000">
        <w:rPr>
          <w:rtl w:val="0"/>
        </w:rPr>
      </w:r>
    </w:p>
    <w:p w:rsidR="00000000" w:rsidDel="00000000" w:rsidP="00000000" w:rsidRDefault="00000000" w:rsidRPr="00000000" w14:paraId="00000024">
      <w:pPr>
        <w:spacing w:before="120" w:line="390" w:lineRule="auto"/>
        <w:rPr>
          <w:sz w:val="24"/>
          <w:szCs w:val="24"/>
        </w:rPr>
      </w:pPr>
      <w:r w:rsidDel="00000000" w:rsidR="00000000" w:rsidRPr="00000000">
        <w:rPr>
          <w:b w:val="1"/>
          <w:bCs w:val="1"/>
          <w:sz w:val="24"/>
          <w:szCs w:val="24"/>
          <w:rtl w:val="0"/>
        </w:rPr>
        <w:t xml:space="preserve">ASSUMPTIONS:</w:t>
      </w:r>
      <w:r w:rsidDel="00000000" w:rsidR="00000000" w:rsidRPr="00000000">
        <w:rPr>
          <w:sz w:val="24"/>
          <w:szCs w:val="24"/>
          <w:rtl w:val="0"/>
        </w:rPr>
        <w:t xml:space="preserve"> You are asking whether a low platelet count (thrombocytopenia) requires a diagnostic workup specifically for heart rhythm abnormalities. I am assuming the patient is an adult and that the question is about the relationship between thrombocytopenia and cardiac arrhythmias, not about the general evaluation of thrombocytopenia or arrhythmias.</w:t>
      </w:r>
    </w:p>
    <w:p w:rsidR="00000000" w:rsidDel="00000000" w:rsidP="00000000" w:rsidRDefault="00000000" w:rsidRPr="00000000" w14:paraId="00000025">
      <w:pPr>
        <w:spacing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before="120" w:line="390" w:lineRule="auto"/>
        <w:rPr>
          <w:sz w:val="24"/>
          <w:szCs w:val="24"/>
        </w:rPr>
      </w:pPr>
      <w:r w:rsidDel="00000000" w:rsidR="00000000" w:rsidRPr="00000000">
        <w:rPr>
          <w:sz w:val="24"/>
          <w:szCs w:val="24"/>
          <w:rtl w:val="0"/>
        </w:rPr>
        <w:t xml:space="preserve">UpToDate guidance does not support a direct link between platelet count abnormalities and the need for a workup for heart rhythm disturbances. The evaluation of thrombocytopenia focuses on identifying underlying causes such as bone marrow disorders, immune-mediated destruction, drug-induced effects, infections, liver disease, and other systemic conditions</w:t>
      </w:r>
      <w:hyperlink r:id="rId30">
        <w:r w:rsidDel="00000000" w:rsidR="00000000" w:rsidRPr="00000000">
          <w:rPr>
            <w:sz w:val="24"/>
            <w:szCs w:val="24"/>
            <w:rtl w:val="0"/>
          </w:rPr>
          <w:t xml:space="preserve"> </w:t>
        </w:r>
      </w:hyperlink>
      <w:hyperlink r:id="rId31">
        <w:r w:rsidDel="00000000" w:rsidR="00000000" w:rsidRPr="00000000">
          <w:rPr>
            <w:color w:val="0074b9"/>
            <w:sz w:val="24"/>
            <w:szCs w:val="24"/>
            <w:rtl w:val="0"/>
          </w:rPr>
          <w:t xml:space="preserve">[1]</w:t>
        </w:r>
      </w:hyperlink>
      <w:hyperlink r:id="rId32">
        <w:r w:rsidDel="00000000" w:rsidR="00000000" w:rsidRPr="00000000">
          <w:rPr>
            <w:color w:val="0074b9"/>
            <w:sz w:val="24"/>
            <w:szCs w:val="24"/>
            <w:rtl w:val="0"/>
          </w:rPr>
          <w:t xml:space="preserve">[2]</w:t>
        </w:r>
      </w:hyperlink>
      <w:hyperlink r:id="rId33">
        <w:r w:rsidDel="00000000" w:rsidR="00000000" w:rsidRPr="00000000">
          <w:rPr>
            <w:color w:val="0074b9"/>
            <w:sz w:val="24"/>
            <w:szCs w:val="24"/>
            <w:rtl w:val="0"/>
          </w:rPr>
          <w:t xml:space="preserve">[3]</w:t>
        </w:r>
      </w:hyperlink>
      <w:hyperlink r:id="rId34">
        <w:r w:rsidDel="00000000" w:rsidR="00000000" w:rsidRPr="00000000">
          <w:rPr>
            <w:color w:val="0074b9"/>
            <w:sz w:val="24"/>
            <w:szCs w:val="24"/>
            <w:rtl w:val="0"/>
          </w:rPr>
          <w:t xml:space="preserve">[4]</w:t>
        </w:r>
      </w:hyperlink>
      <w:hyperlink r:id="rId35">
        <w:r w:rsidDel="00000000" w:rsidR="00000000" w:rsidRPr="00000000">
          <w:rPr>
            <w:color w:val="0074b9"/>
            <w:sz w:val="24"/>
            <w:szCs w:val="24"/>
            <w:rtl w:val="0"/>
          </w:rPr>
          <w:t xml:space="preserve">[5]</w:t>
        </w:r>
      </w:hyperlink>
      <w:hyperlink r:id="rId36">
        <w:r w:rsidDel="00000000" w:rsidR="00000000" w:rsidRPr="00000000">
          <w:rPr>
            <w:color w:val="0074b9"/>
            <w:sz w:val="24"/>
            <w:szCs w:val="24"/>
            <w:rtl w:val="0"/>
          </w:rPr>
          <w:t xml:space="preserve">[6]</w:t>
        </w:r>
      </w:hyperlink>
      <w:hyperlink r:id="rId37">
        <w:r w:rsidDel="00000000" w:rsidR="00000000" w:rsidRPr="00000000">
          <w:rPr>
            <w:color w:val="0074b9"/>
            <w:sz w:val="24"/>
            <w:szCs w:val="24"/>
            <w:rtl w:val="0"/>
          </w:rPr>
          <w:t xml:space="preserve">[7]</w:t>
        </w:r>
      </w:hyperlink>
      <w:hyperlink r:id="rId38">
        <w:r w:rsidDel="00000000" w:rsidR="00000000" w:rsidRPr="00000000">
          <w:rPr>
            <w:color w:val="0074b9"/>
            <w:sz w:val="24"/>
            <w:szCs w:val="24"/>
            <w:rtl w:val="0"/>
          </w:rPr>
          <w:t xml:space="preserve">[8]</w:t>
        </w:r>
      </w:hyperlink>
      <w:hyperlink r:id="rId39">
        <w:r w:rsidDel="00000000" w:rsidR="00000000" w:rsidRPr="00000000">
          <w:rPr>
            <w:color w:val="0074b9"/>
            <w:sz w:val="24"/>
            <w:szCs w:val="24"/>
            <w:rtl w:val="0"/>
          </w:rPr>
          <w:t xml:space="preserve">[9]</w:t>
        </w:r>
      </w:hyperlink>
      <w:r w:rsidDel="00000000" w:rsidR="00000000" w:rsidRPr="00000000">
        <w:rPr>
          <w:sz w:val="24"/>
          <w:szCs w:val="24"/>
          <w:rtl w:val="0"/>
        </w:rPr>
        <w:t xml:space="preserve">. There is no recommendation to routinely evaluate heart rhythm (e.g., with ECG or arrhythmia monitoring) solely based on the presence of thrombocytopenia. Instead, the diagnostic approach to thrombocytopenia is guided by the severity, acuity, associated symptoms (such as bleeding, fever, or thrombosis), and other clinical findings</w:t>
      </w:r>
      <w:hyperlink r:id="rId40">
        <w:r w:rsidDel="00000000" w:rsidR="00000000" w:rsidRPr="00000000">
          <w:rPr>
            <w:sz w:val="24"/>
            <w:szCs w:val="24"/>
            <w:rtl w:val="0"/>
          </w:rPr>
          <w:t xml:space="preserve"> </w:t>
        </w:r>
      </w:hyperlink>
      <w:hyperlink r:id="rId41">
        <w:r w:rsidDel="00000000" w:rsidR="00000000" w:rsidRPr="00000000">
          <w:rPr>
            <w:color w:val="0074b9"/>
            <w:sz w:val="24"/>
            <w:szCs w:val="24"/>
            <w:rtl w:val="0"/>
          </w:rPr>
          <w:t xml:space="preserve">[7]</w:t>
        </w:r>
      </w:hyperlink>
      <w:hyperlink r:id="rId42">
        <w:r w:rsidDel="00000000" w:rsidR="00000000" w:rsidRPr="00000000">
          <w:rPr>
            <w:color w:val="0074b9"/>
            <w:sz w:val="24"/>
            <w:szCs w:val="24"/>
            <w:rtl w:val="0"/>
          </w:rPr>
          <w:t xml:space="preserve">[8]</w:t>
        </w:r>
      </w:hyperlink>
      <w:hyperlink r:id="rId43">
        <w:r w:rsidDel="00000000" w:rsidR="00000000" w:rsidRPr="00000000">
          <w:rPr>
            <w:color w:val="0074b9"/>
            <w:sz w:val="24"/>
            <w:szCs w:val="24"/>
            <w:rtl w:val="0"/>
          </w:rPr>
          <w:t xml:space="preserve">[9]</w:t>
        </w:r>
      </w:hyperlink>
      <w:r w:rsidDel="00000000" w:rsidR="00000000" w:rsidRPr="00000000">
        <w:rPr>
          <w:sz w:val="24"/>
          <w:szCs w:val="24"/>
          <w:rtl w:val="0"/>
        </w:rPr>
        <w:t xml:space="preserve">.</w:t>
      </w:r>
    </w:p>
    <w:p w:rsidR="00000000" w:rsidDel="00000000" w:rsidP="00000000" w:rsidRDefault="00000000" w:rsidRPr="00000000" w14:paraId="00000027">
      <w:pPr>
        <w:spacing w:before="120" w:line="390" w:lineRule="auto"/>
        <w:rPr>
          <w:sz w:val="24"/>
          <w:szCs w:val="24"/>
        </w:rPr>
      </w:pPr>
      <w:r w:rsidDel="00000000" w:rsidR="00000000" w:rsidRPr="00000000">
        <w:rPr>
          <w:sz w:val="24"/>
          <w:szCs w:val="24"/>
          <w:rtl w:val="0"/>
        </w:rPr>
        <w:t xml:space="preserve">If a patient with thrombocytopenia presents with symptoms suggestive of arrhythmia (such as palpitations, syncope, or chest discomfort), then a cardiac workup may be indicated based on those symptoms, not the platelet count itself</w:t>
      </w:r>
      <w:hyperlink r:id="rId44">
        <w:r w:rsidDel="00000000" w:rsidR="00000000" w:rsidRPr="00000000">
          <w:rPr>
            <w:sz w:val="24"/>
            <w:szCs w:val="24"/>
            <w:rtl w:val="0"/>
          </w:rPr>
          <w:t xml:space="preserve"> </w:t>
        </w:r>
      </w:hyperlink>
      <w:hyperlink r:id="rId45">
        <w:r w:rsidDel="00000000" w:rsidR="00000000" w:rsidRPr="00000000">
          <w:rPr>
            <w:color w:val="0074b9"/>
            <w:sz w:val="24"/>
            <w:szCs w:val="24"/>
            <w:rtl w:val="0"/>
          </w:rPr>
          <w:t xml:space="preserve">[10]</w:t>
        </w:r>
      </w:hyperlink>
      <w:hyperlink r:id="rId46">
        <w:r w:rsidDel="00000000" w:rsidR="00000000" w:rsidRPr="00000000">
          <w:rPr>
            <w:color w:val="0074b9"/>
            <w:sz w:val="24"/>
            <w:szCs w:val="24"/>
            <w:rtl w:val="0"/>
          </w:rPr>
          <w:t xml:space="preserve">[11]</w:t>
        </w:r>
      </w:hyperlink>
      <w:r w:rsidDel="00000000" w:rsidR="00000000" w:rsidRPr="00000000">
        <w:rPr>
          <w:sz w:val="24"/>
          <w:szCs w:val="24"/>
          <w:rtl w:val="0"/>
        </w:rPr>
        <w:t xml:space="preserve">.</w:t>
      </w:r>
    </w:p>
    <w:p w:rsidR="00000000" w:rsidDel="00000000" w:rsidP="00000000" w:rsidRDefault="00000000" w:rsidRPr="00000000" w14:paraId="00000028">
      <w:pPr>
        <w:pStyle w:val="Heading3"/>
        <w:keepNext w:val="0"/>
        <w:keepLines w:val="0"/>
        <w:spacing w:after="40" w:before="580" w:line="346.66666666666663" w:lineRule="auto"/>
        <w:rPr>
          <w:b w:val="1"/>
          <w:bCs w:val="1"/>
          <w:color w:val="000000"/>
          <w:sz w:val="27"/>
          <w:szCs w:val="27"/>
        </w:rPr>
      </w:pPr>
      <w:bookmarkStart w:colFirst="0" w:colLast="0" w:name="_srrdukjd5ogc" w:id="4"/>
      <w:bookmarkEnd w:id="4"/>
      <w:r w:rsidDel="00000000" w:rsidR="00000000" w:rsidRPr="00000000">
        <w:rPr>
          <w:b w:val="1"/>
          <w:bCs w:val="1"/>
          <w:color w:val="000000"/>
          <w:sz w:val="27"/>
          <w:szCs w:val="27"/>
          <w:rtl w:val="0"/>
        </w:rPr>
        <w:t xml:space="preserve">Key Points</w:t>
      </w:r>
    </w:p>
    <w:p w:rsidR="00000000" w:rsidDel="00000000" w:rsidP="00000000" w:rsidRDefault="00000000" w:rsidRPr="00000000" w14:paraId="00000029">
      <w:pPr>
        <w:numPr>
          <w:ilvl w:val="0"/>
          <w:numId w:val="1"/>
        </w:numPr>
        <w:spacing w:after="0" w:afterAutospacing="0" w:before="340" w:line="390" w:lineRule="auto"/>
        <w:ind w:left="720" w:hanging="360"/>
        <w:rPr>
          <w:sz w:val="24"/>
          <w:szCs w:val="24"/>
        </w:rPr>
      </w:pPr>
      <w:r w:rsidDel="00000000" w:rsidR="00000000" w:rsidRPr="00000000">
        <w:rPr>
          <w:sz w:val="24"/>
          <w:szCs w:val="24"/>
          <w:rtl w:val="0"/>
        </w:rPr>
        <w:t xml:space="preserve">Thrombocytopenia does not require a heart rhythm workup unless there are symptoms or findings suggestive of arrhythmia </w:t>
      </w:r>
      <w:hyperlink r:id="rId47">
        <w:r w:rsidDel="00000000" w:rsidR="00000000" w:rsidRPr="00000000">
          <w:rPr>
            <w:color w:val="0074b9"/>
            <w:sz w:val="24"/>
            <w:szCs w:val="24"/>
            <w:rtl w:val="0"/>
          </w:rPr>
          <w:t xml:space="preserve">[1]</w:t>
        </w:r>
      </w:hyperlink>
      <w:hyperlink r:id="rId48">
        <w:r w:rsidDel="00000000" w:rsidR="00000000" w:rsidRPr="00000000">
          <w:rPr>
            <w:color w:val="0074b9"/>
            <w:sz w:val="24"/>
            <w:szCs w:val="24"/>
            <w:rtl w:val="0"/>
          </w:rPr>
          <w:t xml:space="preserve">[2]</w:t>
        </w:r>
      </w:hyperlink>
      <w:hyperlink r:id="rId49">
        <w:r w:rsidDel="00000000" w:rsidR="00000000" w:rsidRPr="00000000">
          <w:rPr>
            <w:color w:val="0074b9"/>
            <w:sz w:val="24"/>
            <w:szCs w:val="24"/>
            <w:rtl w:val="0"/>
          </w:rPr>
          <w:t xml:space="preserve">[3]</w:t>
        </w:r>
      </w:hyperlink>
      <w:hyperlink r:id="rId50">
        <w:r w:rsidDel="00000000" w:rsidR="00000000" w:rsidRPr="00000000">
          <w:rPr>
            <w:color w:val="0074b9"/>
            <w:sz w:val="24"/>
            <w:szCs w:val="24"/>
            <w:rtl w:val="0"/>
          </w:rPr>
          <w:t xml:space="preserve">[4]</w:t>
        </w:r>
      </w:hyperlink>
      <w:hyperlink r:id="rId51">
        <w:r w:rsidDel="00000000" w:rsidR="00000000" w:rsidRPr="00000000">
          <w:rPr>
            <w:color w:val="0074b9"/>
            <w:sz w:val="24"/>
            <w:szCs w:val="24"/>
            <w:rtl w:val="0"/>
          </w:rPr>
          <w:t xml:space="preserve">[5]</w:t>
        </w:r>
      </w:hyperlink>
      <w:hyperlink r:id="rId52">
        <w:r w:rsidDel="00000000" w:rsidR="00000000" w:rsidRPr="00000000">
          <w:rPr>
            <w:color w:val="0074b9"/>
            <w:sz w:val="24"/>
            <w:szCs w:val="24"/>
            <w:rtl w:val="0"/>
          </w:rPr>
          <w:t xml:space="preserve">[6]</w:t>
        </w:r>
      </w:hyperlink>
      <w:hyperlink r:id="rId53">
        <w:r w:rsidDel="00000000" w:rsidR="00000000" w:rsidRPr="00000000">
          <w:rPr>
            <w:color w:val="0074b9"/>
            <w:sz w:val="24"/>
            <w:szCs w:val="24"/>
            <w:rtl w:val="0"/>
          </w:rPr>
          <w:t xml:space="preserve">[7]</w:t>
        </w:r>
      </w:hyperlink>
      <w:hyperlink r:id="rId54">
        <w:r w:rsidDel="00000000" w:rsidR="00000000" w:rsidRPr="00000000">
          <w:rPr>
            <w:color w:val="0074b9"/>
            <w:sz w:val="24"/>
            <w:szCs w:val="24"/>
            <w:rtl w:val="0"/>
          </w:rPr>
          <w:t xml:space="preserve">[8]</w:t>
        </w:r>
      </w:hyperlink>
      <w:hyperlink r:id="rId55">
        <w:r w:rsidDel="00000000" w:rsidR="00000000" w:rsidRPr="00000000">
          <w:rPr>
            <w:color w:val="0074b9"/>
            <w:sz w:val="24"/>
            <w:szCs w:val="24"/>
            <w:rtl w:val="0"/>
          </w:rPr>
          <w:t xml:space="preserve">[9]</w:t>
        </w:r>
      </w:hyperlink>
      <w:r w:rsidDel="00000000" w:rsidR="00000000" w:rsidRPr="00000000">
        <w:rPr>
          <w:sz w:val="24"/>
          <w:szCs w:val="24"/>
          <w:rtl w:val="0"/>
        </w:rPr>
        <w:t xml:space="preserve">.</w:t>
      </w:r>
    </w:p>
    <w:p w:rsidR="00000000" w:rsidDel="00000000" w:rsidP="00000000" w:rsidRDefault="00000000" w:rsidRPr="00000000" w14:paraId="0000002A">
      <w:pPr>
        <w:numPr>
          <w:ilvl w:val="0"/>
          <w:numId w:val="1"/>
        </w:numPr>
        <w:spacing w:after="0" w:afterAutospacing="0" w:before="0" w:beforeAutospacing="0" w:line="390" w:lineRule="auto"/>
        <w:ind w:left="720" w:hanging="360"/>
        <w:rPr>
          <w:sz w:val="24"/>
          <w:szCs w:val="24"/>
        </w:rPr>
      </w:pPr>
      <w:r w:rsidDel="00000000" w:rsidR="00000000" w:rsidRPr="00000000">
        <w:rPr>
          <w:sz w:val="24"/>
          <w:szCs w:val="24"/>
          <w:rtl w:val="0"/>
        </w:rPr>
        <w:t xml:space="preserve">The evaluation of thrombocytopenia should focus on identifying its underlying cause and assessing for bleeding or thrombotic risk </w:t>
      </w:r>
      <w:hyperlink r:id="rId56">
        <w:r w:rsidDel="00000000" w:rsidR="00000000" w:rsidRPr="00000000">
          <w:rPr>
            <w:color w:val="0074b9"/>
            <w:sz w:val="24"/>
            <w:szCs w:val="24"/>
            <w:rtl w:val="0"/>
          </w:rPr>
          <w:t xml:space="preserve">[1]</w:t>
        </w:r>
      </w:hyperlink>
      <w:hyperlink r:id="rId57">
        <w:r w:rsidDel="00000000" w:rsidR="00000000" w:rsidRPr="00000000">
          <w:rPr>
            <w:color w:val="0074b9"/>
            <w:sz w:val="24"/>
            <w:szCs w:val="24"/>
            <w:rtl w:val="0"/>
          </w:rPr>
          <w:t xml:space="preserve">[2]</w:t>
        </w:r>
      </w:hyperlink>
      <w:hyperlink r:id="rId58">
        <w:r w:rsidDel="00000000" w:rsidR="00000000" w:rsidRPr="00000000">
          <w:rPr>
            <w:color w:val="0074b9"/>
            <w:sz w:val="24"/>
            <w:szCs w:val="24"/>
            <w:rtl w:val="0"/>
          </w:rPr>
          <w:t xml:space="preserve">[3]</w:t>
        </w:r>
      </w:hyperlink>
      <w:hyperlink r:id="rId59">
        <w:r w:rsidDel="00000000" w:rsidR="00000000" w:rsidRPr="00000000">
          <w:rPr>
            <w:color w:val="0074b9"/>
            <w:sz w:val="24"/>
            <w:szCs w:val="24"/>
            <w:rtl w:val="0"/>
          </w:rPr>
          <w:t xml:space="preserve">[4]</w:t>
        </w:r>
      </w:hyperlink>
      <w:hyperlink r:id="rId60">
        <w:r w:rsidDel="00000000" w:rsidR="00000000" w:rsidRPr="00000000">
          <w:rPr>
            <w:color w:val="0074b9"/>
            <w:sz w:val="24"/>
            <w:szCs w:val="24"/>
            <w:rtl w:val="0"/>
          </w:rPr>
          <w:t xml:space="preserve">[5]</w:t>
        </w:r>
      </w:hyperlink>
      <w:hyperlink r:id="rId61">
        <w:r w:rsidDel="00000000" w:rsidR="00000000" w:rsidRPr="00000000">
          <w:rPr>
            <w:color w:val="0074b9"/>
            <w:sz w:val="24"/>
            <w:szCs w:val="24"/>
            <w:rtl w:val="0"/>
          </w:rPr>
          <w:t xml:space="preserve">[6]</w:t>
        </w:r>
      </w:hyperlink>
      <w:hyperlink r:id="rId62">
        <w:r w:rsidDel="00000000" w:rsidR="00000000" w:rsidRPr="00000000">
          <w:rPr>
            <w:color w:val="0074b9"/>
            <w:sz w:val="24"/>
            <w:szCs w:val="24"/>
            <w:rtl w:val="0"/>
          </w:rPr>
          <w:t xml:space="preserve">[7]</w:t>
        </w:r>
      </w:hyperlink>
      <w:hyperlink r:id="rId63">
        <w:r w:rsidDel="00000000" w:rsidR="00000000" w:rsidRPr="00000000">
          <w:rPr>
            <w:color w:val="0074b9"/>
            <w:sz w:val="24"/>
            <w:szCs w:val="24"/>
            <w:rtl w:val="0"/>
          </w:rPr>
          <w:t xml:space="preserve">[8]</w:t>
        </w:r>
      </w:hyperlink>
      <w:hyperlink r:id="rId64">
        <w:r w:rsidDel="00000000" w:rsidR="00000000" w:rsidRPr="00000000">
          <w:rPr>
            <w:color w:val="0074b9"/>
            <w:sz w:val="24"/>
            <w:szCs w:val="24"/>
            <w:rtl w:val="0"/>
          </w:rPr>
          <w:t xml:space="preserve">[9]</w:t>
        </w:r>
      </w:hyperlink>
      <w:r w:rsidDel="00000000" w:rsidR="00000000" w:rsidRPr="00000000">
        <w:rPr>
          <w:sz w:val="24"/>
          <w:szCs w:val="24"/>
          <w:rtl w:val="0"/>
        </w:rPr>
        <w:t xml:space="preserve">.</w:t>
      </w:r>
    </w:p>
    <w:p w:rsidR="00000000" w:rsidDel="00000000" w:rsidP="00000000" w:rsidRDefault="00000000" w:rsidRPr="00000000" w14:paraId="0000002B">
      <w:pPr>
        <w:numPr>
          <w:ilvl w:val="0"/>
          <w:numId w:val="1"/>
        </w:numPr>
        <w:spacing w:before="0" w:beforeAutospacing="0" w:line="390" w:lineRule="auto"/>
        <w:ind w:left="720" w:hanging="360"/>
        <w:rPr>
          <w:sz w:val="24"/>
          <w:szCs w:val="24"/>
        </w:rPr>
      </w:pPr>
      <w:r w:rsidDel="00000000" w:rsidR="00000000" w:rsidRPr="00000000">
        <w:rPr>
          <w:sz w:val="24"/>
          <w:szCs w:val="24"/>
          <w:rtl w:val="0"/>
        </w:rPr>
        <w:t xml:space="preserve">Cardiac arrhythmia evaluation is symptom-driven and not triggered by platelet count abnormalities alone </w:t>
      </w:r>
      <w:hyperlink r:id="rId65">
        <w:r w:rsidDel="00000000" w:rsidR="00000000" w:rsidRPr="00000000">
          <w:rPr>
            <w:color w:val="0074b9"/>
            <w:sz w:val="24"/>
            <w:szCs w:val="24"/>
            <w:rtl w:val="0"/>
          </w:rPr>
          <w:t xml:space="preserve">[10]</w:t>
        </w:r>
      </w:hyperlink>
      <w:hyperlink r:id="rId66">
        <w:r w:rsidDel="00000000" w:rsidR="00000000" w:rsidRPr="00000000">
          <w:rPr>
            <w:color w:val="0074b9"/>
            <w:sz w:val="24"/>
            <w:szCs w:val="24"/>
            <w:rtl w:val="0"/>
          </w:rPr>
          <w:t xml:space="preserve">[11]</w:t>
        </w:r>
      </w:hyperlink>
      <w:r w:rsidDel="00000000" w:rsidR="00000000" w:rsidRPr="00000000">
        <w:rPr>
          <w:sz w:val="24"/>
          <w:szCs w:val="24"/>
          <w:rtl w:val="0"/>
        </w:rPr>
        <w:t xml:space="preserve">.</w:t>
      </w:r>
    </w:p>
    <w:p w:rsidR="00000000" w:rsidDel="00000000" w:rsidP="00000000" w:rsidRDefault="00000000" w:rsidRPr="00000000" w14:paraId="0000002C">
      <w:pPr>
        <w:pStyle w:val="Heading3"/>
        <w:keepNext w:val="0"/>
        <w:keepLines w:val="0"/>
        <w:spacing w:after="40" w:before="580" w:line="346.66666666666663" w:lineRule="auto"/>
        <w:rPr>
          <w:b w:val="1"/>
          <w:bCs w:val="1"/>
          <w:color w:val="000000"/>
          <w:sz w:val="27"/>
          <w:szCs w:val="27"/>
        </w:rPr>
      </w:pPr>
      <w:bookmarkStart w:colFirst="0" w:colLast="0" w:name="_y0c1vlxojgbu" w:id="5"/>
      <w:bookmarkEnd w:id="5"/>
      <w:r w:rsidDel="00000000" w:rsidR="00000000" w:rsidRPr="00000000">
        <w:rPr>
          <w:b w:val="1"/>
          <w:bCs w:val="1"/>
          <w:color w:val="000000"/>
          <w:sz w:val="27"/>
          <w:szCs w:val="27"/>
          <w:rtl w:val="0"/>
        </w:rPr>
        <w:t xml:space="preserve">Learn More</w:t>
      </w:r>
    </w:p>
    <w:p w:rsidR="00000000" w:rsidDel="00000000" w:rsidP="00000000" w:rsidRDefault="00000000" w:rsidRPr="00000000" w14:paraId="0000002D">
      <w:pPr>
        <w:spacing w:before="120" w:line="390" w:lineRule="auto"/>
        <w:rPr>
          <w:sz w:val="24"/>
          <w:szCs w:val="24"/>
        </w:rPr>
      </w:pPr>
      <w:r w:rsidDel="00000000" w:rsidR="00000000" w:rsidRPr="00000000">
        <w:rPr>
          <w:sz w:val="24"/>
          <w:szCs w:val="24"/>
          <w:rtl w:val="0"/>
        </w:rPr>
        <w:t xml:space="preserve">Would you like to learn more about:</w:t>
      </w:r>
    </w:p>
    <w:p w:rsidR="00000000" w:rsidDel="00000000" w:rsidP="00000000" w:rsidRDefault="00000000" w:rsidRPr="00000000" w14:paraId="0000002E">
      <w:pPr>
        <w:numPr>
          <w:ilvl w:val="0"/>
          <w:numId w:val="4"/>
        </w:numPr>
        <w:spacing w:after="0" w:afterAutospacing="0" w:before="340" w:line="390" w:lineRule="auto"/>
        <w:ind w:left="720" w:hanging="360"/>
        <w:rPr>
          <w:sz w:val="24"/>
          <w:szCs w:val="24"/>
        </w:rPr>
      </w:pPr>
      <w:hyperlink r:id="rId67">
        <w:r w:rsidDel="00000000" w:rsidR="00000000" w:rsidRPr="00000000">
          <w:rPr>
            <w:color w:val="0074b9"/>
            <w:sz w:val="24"/>
            <w:szCs w:val="24"/>
            <w:rtl w:val="0"/>
          </w:rPr>
          <w:t xml:space="preserve">What if the patient has symptoms of arrhythmia (palpitations, syncope, chest pain)?</w:t>
        </w:r>
      </w:hyperlink>
      <w:r w:rsidDel="00000000" w:rsidR="00000000" w:rsidRPr="00000000">
        <w:rPr>
          <w:rtl w:val="0"/>
        </w:rPr>
      </w:r>
    </w:p>
    <w:p w:rsidR="00000000" w:rsidDel="00000000" w:rsidP="00000000" w:rsidRDefault="00000000" w:rsidRPr="00000000" w14:paraId="0000002F">
      <w:pPr>
        <w:numPr>
          <w:ilvl w:val="0"/>
          <w:numId w:val="4"/>
        </w:numPr>
        <w:spacing w:after="0" w:afterAutospacing="0" w:before="0" w:beforeAutospacing="0" w:line="390" w:lineRule="auto"/>
        <w:ind w:left="720" w:hanging="360"/>
        <w:rPr>
          <w:sz w:val="24"/>
          <w:szCs w:val="24"/>
        </w:rPr>
      </w:pPr>
      <w:hyperlink r:id="rId68">
        <w:r w:rsidDel="00000000" w:rsidR="00000000" w:rsidRPr="00000000">
          <w:rPr>
            <w:color w:val="0074b9"/>
            <w:sz w:val="24"/>
            <w:szCs w:val="24"/>
            <w:rtl w:val="0"/>
          </w:rPr>
          <w:t xml:space="preserve">What if the patient is hospitalized or critically ill?</w:t>
        </w:r>
      </w:hyperlink>
      <w:r w:rsidDel="00000000" w:rsidR="00000000" w:rsidRPr="00000000">
        <w:rPr>
          <w:rtl w:val="0"/>
        </w:rPr>
      </w:r>
    </w:p>
    <w:p w:rsidR="00000000" w:rsidDel="00000000" w:rsidP="00000000" w:rsidRDefault="00000000" w:rsidRPr="00000000" w14:paraId="00000030">
      <w:pPr>
        <w:numPr>
          <w:ilvl w:val="0"/>
          <w:numId w:val="4"/>
        </w:numPr>
        <w:spacing w:after="0" w:afterAutospacing="0" w:before="0" w:beforeAutospacing="0" w:line="390" w:lineRule="auto"/>
        <w:ind w:left="720" w:hanging="360"/>
        <w:rPr>
          <w:sz w:val="24"/>
          <w:szCs w:val="24"/>
        </w:rPr>
      </w:pPr>
      <w:hyperlink r:id="rId69">
        <w:r w:rsidDel="00000000" w:rsidR="00000000" w:rsidRPr="00000000">
          <w:rPr>
            <w:color w:val="0074b9"/>
            <w:sz w:val="24"/>
            <w:szCs w:val="24"/>
            <w:rtl w:val="0"/>
          </w:rPr>
          <w:t xml:space="preserve">What if the thrombocytopenia is severe or associated with bleeding?</w:t>
        </w:r>
      </w:hyperlink>
      <w:r w:rsidDel="00000000" w:rsidR="00000000" w:rsidRPr="00000000">
        <w:rPr>
          <w:rtl w:val="0"/>
        </w:rPr>
      </w:r>
    </w:p>
    <w:p w:rsidR="00000000" w:rsidDel="00000000" w:rsidP="00000000" w:rsidRDefault="00000000" w:rsidRPr="00000000" w14:paraId="00000031">
      <w:pPr>
        <w:numPr>
          <w:ilvl w:val="0"/>
          <w:numId w:val="4"/>
        </w:numPr>
        <w:spacing w:after="0" w:afterAutospacing="0" w:before="0" w:beforeAutospacing="0" w:line="390" w:lineRule="auto"/>
        <w:ind w:left="720" w:hanging="360"/>
        <w:rPr>
          <w:sz w:val="24"/>
          <w:szCs w:val="24"/>
        </w:rPr>
      </w:pPr>
      <w:hyperlink r:id="rId70">
        <w:r w:rsidDel="00000000" w:rsidR="00000000" w:rsidRPr="00000000">
          <w:rPr>
            <w:color w:val="0074b9"/>
            <w:sz w:val="24"/>
            <w:szCs w:val="24"/>
            <w:rtl w:val="0"/>
          </w:rPr>
          <w:t xml:space="preserve">What if there is a history of cardiac disease or arrhythmia?</w:t>
        </w:r>
      </w:hyperlink>
      <w:r w:rsidDel="00000000" w:rsidR="00000000" w:rsidRPr="00000000">
        <w:rPr>
          <w:rtl w:val="0"/>
        </w:rPr>
      </w:r>
    </w:p>
    <w:p w:rsidR="00000000" w:rsidDel="00000000" w:rsidP="00000000" w:rsidRDefault="00000000" w:rsidRPr="00000000" w14:paraId="00000032">
      <w:pPr>
        <w:numPr>
          <w:ilvl w:val="0"/>
          <w:numId w:val="4"/>
        </w:numPr>
        <w:spacing w:before="0" w:beforeAutospacing="0" w:line="390" w:lineRule="auto"/>
        <w:ind w:left="720" w:hanging="360"/>
        <w:rPr>
          <w:sz w:val="24"/>
          <w:szCs w:val="24"/>
        </w:rPr>
      </w:pPr>
      <w:hyperlink r:id="rId71">
        <w:r w:rsidDel="00000000" w:rsidR="00000000" w:rsidRPr="00000000">
          <w:rPr>
            <w:color w:val="0074b9"/>
            <w:sz w:val="24"/>
            <w:szCs w:val="24"/>
            <w:rtl w:val="0"/>
          </w:rPr>
          <w:t xml:space="preserve">What if the patient is on medications that affect platelets or heart rhythm?</w:t>
        </w:r>
      </w:hyperlink>
      <w:r w:rsidDel="00000000" w:rsidR="00000000" w:rsidRPr="00000000">
        <w:rPr>
          <w:rtl w:val="0"/>
        </w:rPr>
      </w:r>
    </w:p>
    <w:p w:rsidR="00000000" w:rsidDel="00000000" w:rsidP="00000000" w:rsidRDefault="00000000" w:rsidRPr="00000000" w14:paraId="00000033">
      <w:pPr>
        <w:spacing w:before="120" w:line="390" w:lineRule="auto"/>
        <w:rPr>
          <w:sz w:val="24"/>
          <w:szCs w:val="24"/>
        </w:rPr>
      </w:pPr>
      <w:r w:rsidDel="00000000" w:rsidR="00000000" w:rsidRPr="00000000">
        <w:rPr>
          <w:sz w:val="24"/>
          <w:szCs w:val="24"/>
          <w:rtl w:val="0"/>
        </w:rPr>
        <w:t xml:space="preserve">Let me know if you have other patient-specific factors to consider.</w:t>
      </w:r>
    </w:p>
    <w:p w:rsidR="00000000" w:rsidDel="00000000" w:rsidP="00000000" w:rsidRDefault="00000000" w:rsidRPr="00000000" w14:paraId="00000034">
      <w:pPr>
        <w:pStyle w:val="Heading3"/>
        <w:keepNext w:val="0"/>
        <w:keepLines w:val="0"/>
        <w:spacing w:after="40" w:before="580" w:line="346.66666666666663" w:lineRule="auto"/>
        <w:rPr>
          <w:b w:val="1"/>
          <w:bCs w:val="1"/>
          <w:color w:val="000000"/>
          <w:sz w:val="27"/>
          <w:szCs w:val="27"/>
        </w:rPr>
      </w:pPr>
      <w:bookmarkStart w:colFirst="0" w:colLast="0" w:name="_33mm22zkqmx" w:id="6"/>
      <w:bookmarkEnd w:id="6"/>
      <w:r w:rsidDel="00000000" w:rsidR="00000000" w:rsidRPr="00000000">
        <w:rPr>
          <w:b w:val="1"/>
          <w:bCs w:val="1"/>
          <w:color w:val="000000"/>
          <w:sz w:val="27"/>
          <w:szCs w:val="27"/>
          <w:rtl w:val="0"/>
        </w:rPr>
        <w:t xml:space="preserve">UpToDate® Sources</w:t>
      </w:r>
    </w:p>
    <w:p w:rsidR="00000000" w:rsidDel="00000000" w:rsidP="00000000" w:rsidRDefault="00000000" w:rsidRPr="00000000" w14:paraId="00000035">
      <w:pPr>
        <w:numPr>
          <w:ilvl w:val="0"/>
          <w:numId w:val="9"/>
        </w:numPr>
        <w:spacing w:after="0" w:afterAutospacing="0" w:before="360" w:lineRule="auto"/>
        <w:ind w:left="720" w:hanging="360"/>
      </w:pPr>
      <w:hyperlink r:id="rId72">
        <w:r w:rsidDel="00000000" w:rsidR="00000000" w:rsidRPr="00000000">
          <w:rPr>
            <w:color w:val="0074b9"/>
            <w:sz w:val="24"/>
            <w:szCs w:val="24"/>
            <w:rtl w:val="0"/>
          </w:rPr>
          <w:t xml:space="preserve">Diagnostic approach to thrombocytopenia in adults &gt; DEFINITIONS AND AREAS OF CONCERN &gt; Severity of thrombocytopenia</w:t>
        </w:r>
      </w:hyperlink>
      <w:r w:rsidDel="00000000" w:rsidR="00000000" w:rsidRPr="00000000">
        <w:rPr>
          <w:rtl w:val="0"/>
        </w:rPr>
      </w:r>
    </w:p>
    <w:p w:rsidR="00000000" w:rsidDel="00000000" w:rsidP="00000000" w:rsidRDefault="00000000" w:rsidRPr="00000000" w14:paraId="00000036">
      <w:pPr>
        <w:numPr>
          <w:ilvl w:val="0"/>
          <w:numId w:val="9"/>
        </w:numPr>
        <w:spacing w:after="0" w:afterAutospacing="0" w:before="0" w:beforeAutospacing="0" w:lineRule="auto"/>
        <w:ind w:left="720" w:hanging="360"/>
      </w:pPr>
      <w:hyperlink r:id="rId73">
        <w:r w:rsidDel="00000000" w:rsidR="00000000" w:rsidRPr="00000000">
          <w:rPr>
            <w:color w:val="0074b9"/>
            <w:sz w:val="24"/>
            <w:szCs w:val="24"/>
            <w:rtl w:val="0"/>
          </w:rPr>
          <w:t xml:space="preserve">Diagnostic approach to thrombocytopenia in adults &gt; CATEGORIES OF CAUSES</w:t>
        </w:r>
      </w:hyperlink>
      <w:r w:rsidDel="00000000" w:rsidR="00000000" w:rsidRPr="00000000">
        <w:rPr>
          <w:rtl w:val="0"/>
        </w:rPr>
      </w:r>
    </w:p>
    <w:p w:rsidR="00000000" w:rsidDel="00000000" w:rsidP="00000000" w:rsidRDefault="00000000" w:rsidRPr="00000000" w14:paraId="00000037">
      <w:pPr>
        <w:numPr>
          <w:ilvl w:val="0"/>
          <w:numId w:val="9"/>
        </w:numPr>
        <w:spacing w:after="0" w:afterAutospacing="0" w:before="0" w:beforeAutospacing="0" w:lineRule="auto"/>
        <w:ind w:left="720" w:hanging="360"/>
      </w:pPr>
      <w:hyperlink r:id="rId74">
        <w:r w:rsidDel="00000000" w:rsidR="00000000" w:rsidRPr="00000000">
          <w:rPr>
            <w:color w:val="0074b9"/>
            <w:sz w:val="24"/>
            <w:szCs w:val="24"/>
            <w:rtl w:val="0"/>
          </w:rPr>
          <w:t xml:space="preserve">Diagnostic approach to thrombocytopenia in adults &gt; CATEGORIES OF CAUSES &gt; Organized by mechanism</w:t>
        </w:r>
      </w:hyperlink>
      <w:r w:rsidDel="00000000" w:rsidR="00000000" w:rsidRPr="00000000">
        <w:rPr>
          <w:rtl w:val="0"/>
        </w:rPr>
      </w:r>
    </w:p>
    <w:p w:rsidR="00000000" w:rsidDel="00000000" w:rsidP="00000000" w:rsidRDefault="00000000" w:rsidRPr="00000000" w14:paraId="00000038">
      <w:pPr>
        <w:numPr>
          <w:ilvl w:val="0"/>
          <w:numId w:val="9"/>
        </w:numPr>
        <w:spacing w:after="0" w:afterAutospacing="0" w:before="0" w:beforeAutospacing="0" w:lineRule="auto"/>
        <w:ind w:left="720" w:hanging="360"/>
      </w:pPr>
      <w:hyperlink r:id="rId75">
        <w:r w:rsidDel="00000000" w:rsidR="00000000" w:rsidRPr="00000000">
          <w:rPr>
            <w:color w:val="0074b9"/>
            <w:sz w:val="24"/>
            <w:szCs w:val="24"/>
            <w:rtl w:val="0"/>
          </w:rPr>
          <w:t xml:space="preserve">Diagnostic approach to thrombocytopenia in adults &gt; CATEGORIES OF CAUSES &gt; Organized by mechanism &gt; Decreased production</w:t>
        </w:r>
      </w:hyperlink>
      <w:r w:rsidDel="00000000" w:rsidR="00000000" w:rsidRPr="00000000">
        <w:rPr>
          <w:rtl w:val="0"/>
        </w:rPr>
      </w:r>
    </w:p>
    <w:p w:rsidR="00000000" w:rsidDel="00000000" w:rsidP="00000000" w:rsidRDefault="00000000" w:rsidRPr="00000000" w14:paraId="00000039">
      <w:pPr>
        <w:numPr>
          <w:ilvl w:val="0"/>
          <w:numId w:val="9"/>
        </w:numPr>
        <w:spacing w:after="0" w:afterAutospacing="0" w:before="0" w:beforeAutospacing="0" w:lineRule="auto"/>
        <w:ind w:left="720" w:hanging="360"/>
      </w:pPr>
      <w:hyperlink r:id="rId76">
        <w:r w:rsidDel="00000000" w:rsidR="00000000" w:rsidRPr="00000000">
          <w:rPr>
            <w:color w:val="0074b9"/>
            <w:sz w:val="24"/>
            <w:szCs w:val="24"/>
            <w:rtl w:val="0"/>
          </w:rPr>
          <w:t xml:space="preserve">Diagnostic approach to thrombocytopenia in adults &gt; CATEGORIES OF CAUSES &gt; Organized by mechanism &gt; Accelerated clearance or consumption</w:t>
        </w:r>
      </w:hyperlink>
      <w:r w:rsidDel="00000000" w:rsidR="00000000" w:rsidRPr="00000000">
        <w:rPr>
          <w:rtl w:val="0"/>
        </w:rPr>
      </w:r>
    </w:p>
    <w:p w:rsidR="00000000" w:rsidDel="00000000" w:rsidP="00000000" w:rsidRDefault="00000000" w:rsidRPr="00000000" w14:paraId="0000003A">
      <w:pPr>
        <w:numPr>
          <w:ilvl w:val="0"/>
          <w:numId w:val="9"/>
        </w:numPr>
        <w:spacing w:after="0" w:afterAutospacing="0" w:before="0" w:beforeAutospacing="0" w:lineRule="auto"/>
        <w:ind w:left="720" w:hanging="360"/>
      </w:pPr>
      <w:hyperlink r:id="rId77">
        <w:r w:rsidDel="00000000" w:rsidR="00000000" w:rsidRPr="00000000">
          <w:rPr>
            <w:color w:val="0074b9"/>
            <w:sz w:val="24"/>
            <w:szCs w:val="24"/>
            <w:rtl w:val="0"/>
          </w:rPr>
          <w:t xml:space="preserve">Diagnostic approach to thrombocytopenia in adults &gt; CATEGORIES OF CAUSES &gt; Organized by acuity level</w:t>
        </w:r>
      </w:hyperlink>
      <w:r w:rsidDel="00000000" w:rsidR="00000000" w:rsidRPr="00000000">
        <w:rPr>
          <w:rtl w:val="0"/>
        </w:rPr>
      </w:r>
    </w:p>
    <w:p w:rsidR="00000000" w:rsidDel="00000000" w:rsidP="00000000" w:rsidRDefault="00000000" w:rsidRPr="00000000" w14:paraId="0000003B">
      <w:pPr>
        <w:numPr>
          <w:ilvl w:val="0"/>
          <w:numId w:val="9"/>
        </w:numPr>
        <w:spacing w:after="0" w:afterAutospacing="0" w:before="0" w:beforeAutospacing="0" w:lineRule="auto"/>
        <w:ind w:left="720" w:hanging="360"/>
      </w:pPr>
      <w:hyperlink r:id="rId78">
        <w:r w:rsidDel="00000000" w:rsidR="00000000" w:rsidRPr="00000000">
          <w:rPr>
            <w:color w:val="0074b9"/>
            <w:sz w:val="24"/>
            <w:szCs w:val="24"/>
            <w:rtl w:val="0"/>
          </w:rPr>
          <w:t xml:space="preserve">Diagnostic approach to thrombocytopenia in adults &gt; APPROACH TO EVALUATION &gt; Assess severity</w:t>
        </w:r>
      </w:hyperlink>
      <w:r w:rsidDel="00000000" w:rsidR="00000000" w:rsidRPr="00000000">
        <w:rPr>
          <w:rtl w:val="0"/>
        </w:rPr>
      </w:r>
    </w:p>
    <w:p w:rsidR="00000000" w:rsidDel="00000000" w:rsidP="00000000" w:rsidRDefault="00000000" w:rsidRPr="00000000" w14:paraId="0000003C">
      <w:pPr>
        <w:numPr>
          <w:ilvl w:val="0"/>
          <w:numId w:val="9"/>
        </w:numPr>
        <w:spacing w:after="0" w:afterAutospacing="0" w:before="0" w:beforeAutospacing="0" w:lineRule="auto"/>
        <w:ind w:left="720" w:hanging="360"/>
      </w:pPr>
      <w:hyperlink r:id="rId79">
        <w:r w:rsidDel="00000000" w:rsidR="00000000" w:rsidRPr="00000000">
          <w:rPr>
            <w:color w:val="0074b9"/>
            <w:sz w:val="24"/>
            <w:szCs w:val="24"/>
            <w:rtl w:val="0"/>
          </w:rPr>
          <w:t xml:space="preserve">Diagnostic approach to thrombocytopenia in adults &gt; APPROACH TO EVALUATION &gt; History &gt; Initial questions and pace of the evaluation</w:t>
        </w:r>
      </w:hyperlink>
      <w:r w:rsidDel="00000000" w:rsidR="00000000" w:rsidRPr="00000000">
        <w:rPr>
          <w:rtl w:val="0"/>
        </w:rPr>
      </w:r>
    </w:p>
    <w:p w:rsidR="00000000" w:rsidDel="00000000" w:rsidP="00000000" w:rsidRDefault="00000000" w:rsidRPr="00000000" w14:paraId="0000003D">
      <w:pPr>
        <w:numPr>
          <w:ilvl w:val="0"/>
          <w:numId w:val="9"/>
        </w:numPr>
        <w:spacing w:after="0" w:afterAutospacing="0" w:before="0" w:beforeAutospacing="0" w:lineRule="auto"/>
        <w:ind w:left="720" w:hanging="360"/>
      </w:pPr>
      <w:hyperlink r:id="rId80">
        <w:r w:rsidDel="00000000" w:rsidR="00000000" w:rsidRPr="00000000">
          <w:rPr>
            <w:color w:val="0074b9"/>
            <w:sz w:val="24"/>
            <w:szCs w:val="24"/>
            <w:rtl w:val="0"/>
          </w:rPr>
          <w:t xml:space="preserve">Diagnostic approach to thrombocytopenia in adults &gt; APPROACH TO EVALUATION &gt; History &gt; Further questions to determine cause</w:t>
        </w:r>
      </w:hyperlink>
      <w:r w:rsidDel="00000000" w:rsidR="00000000" w:rsidRPr="00000000">
        <w:rPr>
          <w:rtl w:val="0"/>
        </w:rPr>
      </w:r>
    </w:p>
    <w:p w:rsidR="00000000" w:rsidDel="00000000" w:rsidP="00000000" w:rsidRDefault="00000000" w:rsidRPr="00000000" w14:paraId="0000003E">
      <w:pPr>
        <w:numPr>
          <w:ilvl w:val="0"/>
          <w:numId w:val="9"/>
        </w:numPr>
        <w:spacing w:after="0" w:afterAutospacing="0" w:before="0" w:beforeAutospacing="0" w:lineRule="auto"/>
        <w:ind w:left="720" w:hanging="360"/>
      </w:pPr>
      <w:hyperlink r:id="rId81">
        <w:r w:rsidDel="00000000" w:rsidR="00000000" w:rsidRPr="00000000">
          <w:rPr>
            <w:color w:val="0074b9"/>
            <w:sz w:val="24"/>
            <w:szCs w:val="24"/>
            <w:rtl w:val="0"/>
          </w:rPr>
          <w:t xml:space="preserve">Athletes with arrhythmias: Clinical manifestations and diagnostic evaluation &gt; CLINICAL PRESENTATION</w:t>
        </w:r>
      </w:hyperlink>
      <w:r w:rsidDel="00000000" w:rsidR="00000000" w:rsidRPr="00000000">
        <w:rPr>
          <w:rtl w:val="0"/>
        </w:rPr>
      </w:r>
    </w:p>
    <w:p w:rsidR="00000000" w:rsidDel="00000000" w:rsidP="00000000" w:rsidRDefault="00000000" w:rsidRPr="00000000" w14:paraId="0000003F">
      <w:pPr>
        <w:numPr>
          <w:ilvl w:val="0"/>
          <w:numId w:val="9"/>
        </w:numPr>
        <w:spacing w:before="0" w:beforeAutospacing="0" w:lineRule="auto"/>
        <w:ind w:left="720" w:hanging="360"/>
      </w:pPr>
      <w:hyperlink r:id="rId82">
        <w:r w:rsidDel="00000000" w:rsidR="00000000" w:rsidRPr="00000000">
          <w:rPr>
            <w:color w:val="0074b9"/>
            <w:sz w:val="24"/>
            <w:szCs w:val="24"/>
            <w:rtl w:val="0"/>
          </w:rPr>
          <w:t xml:space="preserve">Evaluation of palpitations in adults &gt; ETIOLOGIES</w:t>
        </w:r>
      </w:hyperlink>
      <w:r w:rsidDel="00000000" w:rsidR="00000000" w:rsidRPr="00000000">
        <w:rPr>
          <w:rtl w:val="0"/>
        </w:rPr>
      </w:r>
    </w:p>
    <w:p w:rsidR="00000000" w:rsidDel="00000000" w:rsidP="00000000" w:rsidRDefault="00000000" w:rsidRPr="00000000" w14:paraId="00000040">
      <w:pPr>
        <w:shd w:fill="f2f8fc" w:val="clear"/>
        <w:spacing w:after="0" w:before="0" w:lineRule="auto"/>
        <w:ind w:left="100" w:right="-20" w:firstLine="0"/>
        <w:rPr>
          <w:color w:val="0074b9"/>
          <w:sz w:val="21"/>
          <w:szCs w:val="21"/>
        </w:rPr>
      </w:pPr>
      <w:r w:rsidDel="00000000" w:rsidR="00000000" w:rsidRPr="00000000">
        <w:rPr>
          <w:color w:val="0074b9"/>
          <w:sz w:val="21"/>
          <w:szCs w:val="21"/>
          <w:rtl w:val="0"/>
        </w:rPr>
        <w:t xml:space="preserve">Like answer</w:t>
      </w:r>
    </w:p>
    <w:p w:rsidR="00000000" w:rsidDel="00000000" w:rsidP="00000000" w:rsidRDefault="00000000" w:rsidRPr="00000000" w14:paraId="00000041">
      <w:pPr>
        <w:shd w:fill="f2f8fc" w:val="clear"/>
        <w:spacing w:after="0" w:before="0" w:lineRule="auto"/>
        <w:ind w:left="-20" w:right="-20" w:firstLine="0"/>
        <w:rPr>
          <w:color w:val="0074b9"/>
          <w:sz w:val="21"/>
          <w:szCs w:val="21"/>
        </w:rPr>
      </w:pPr>
      <w:r w:rsidDel="00000000" w:rsidR="00000000" w:rsidRPr="00000000">
        <w:rPr>
          <w:color w:val="0074b9"/>
          <w:sz w:val="21"/>
          <w:szCs w:val="21"/>
          <w:rtl w:val="0"/>
        </w:rPr>
        <w:t xml:space="preserve">Dislike answer</w:t>
      </w:r>
    </w:p>
    <w:p w:rsidR="00000000" w:rsidDel="00000000" w:rsidP="00000000" w:rsidRDefault="00000000" w:rsidRPr="00000000" w14:paraId="00000042">
      <w:pPr>
        <w:shd w:fill="ffffff" w:val="clear"/>
        <w:spacing w:line="270" w:lineRule="auto"/>
        <w:rPr>
          <w:color w:val="757575"/>
          <w:sz w:val="21"/>
          <w:szCs w:val="21"/>
        </w:rPr>
      </w:pPr>
      <w:r w:rsidDel="00000000" w:rsidR="00000000" w:rsidRPr="00000000">
        <w:rPr>
          <w:rtl w:val="0"/>
        </w:rPr>
      </w:r>
    </w:p>
    <w:p w:rsidR="00000000" w:rsidDel="00000000" w:rsidP="00000000" w:rsidRDefault="00000000" w:rsidRPr="00000000" w14:paraId="0000004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uhtlc6vv2o3"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135</w:t>
      </w:r>
      <w:r w:rsidDel="00000000" w:rsidR="00000000" w:rsidRPr="00000000">
        <w:rPr>
          <w:rtl w:val="0"/>
        </w:rPr>
      </w:r>
    </w:p>
    <w:p w:rsidR="00000000" w:rsidDel="00000000" w:rsidP="00000000" w:rsidRDefault="00000000" w:rsidRPr="00000000" w14:paraId="00000045">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when ambulatory ECG monitoring is preferred over a standard EKG, and I am assuming you are referring to adult patients being evaluated for possible cardiac arrhythmias or conduction abnormalities.</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hd w:fill="ffffff" w:val="clear"/>
        <w:spacing w:line="390" w:lineRule="auto"/>
        <w:rPr>
          <w:color w:val="232323"/>
          <w:sz w:val="24"/>
          <w:szCs w:val="24"/>
        </w:rPr>
      </w:pPr>
      <w:r w:rsidDel="00000000" w:rsidR="00000000" w:rsidRPr="00000000">
        <w:rPr>
          <w:color w:val="232323"/>
          <w:sz w:val="24"/>
          <w:szCs w:val="24"/>
          <w:rtl w:val="0"/>
        </w:rPr>
        <w:t xml:space="preserve">Ambulatory ECG monitoring is preferred over a standard EKG when symptoms suggestive of cardiac arrhythmia or conduction abnormality are intermittent, transient, or infrequent, making them unlikely to be captured during the brief recording period of a standard EKG</w:t>
      </w:r>
      <w:hyperlink r:id="rId83">
        <w:r w:rsidDel="00000000" w:rsidR="00000000" w:rsidRPr="00000000">
          <w:rPr>
            <w:color w:val="232323"/>
            <w:sz w:val="24"/>
            <w:szCs w:val="24"/>
            <w:rtl w:val="0"/>
          </w:rPr>
          <w:t xml:space="preserve"> </w:t>
        </w:r>
      </w:hyperlink>
      <w:hyperlink r:id="rId84">
        <w:r w:rsidDel="00000000" w:rsidR="00000000" w:rsidRPr="00000000">
          <w:rPr>
            <w:color w:val="0074b9"/>
            <w:sz w:val="24"/>
            <w:szCs w:val="24"/>
            <w:rtl w:val="0"/>
          </w:rPr>
          <w:t xml:space="preserve">[1]</w:t>
        </w:r>
      </w:hyperlink>
      <w:hyperlink r:id="rId85">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 Ambulatory monitoring is especially indicated for patients with unexplained syncope, near syncope, episodic dizziness, or recurrent palpitations, as well as for risk stratification, assessing arrhythmia therapy effectiveness, and evaluating silent ischemia</w:t>
      </w:r>
      <w:hyperlink r:id="rId86">
        <w:r w:rsidDel="00000000" w:rsidR="00000000" w:rsidRPr="00000000">
          <w:rPr>
            <w:color w:val="232323"/>
            <w:sz w:val="24"/>
            <w:szCs w:val="24"/>
            <w:rtl w:val="0"/>
          </w:rPr>
          <w:t xml:space="preserve"> </w:t>
        </w:r>
      </w:hyperlink>
      <w:hyperlink r:id="rId87">
        <w:r w:rsidDel="00000000" w:rsidR="00000000" w:rsidRPr="00000000">
          <w:rPr>
            <w:color w:val="0074b9"/>
            <w:sz w:val="24"/>
            <w:szCs w:val="24"/>
            <w:rtl w:val="0"/>
          </w:rPr>
          <w:t xml:space="preserve">[1]</w:t>
        </w:r>
      </w:hyperlink>
      <w:hyperlink r:id="rId88">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 The choice of ambulatory monitor (Holter, event monitor, insertable cardiac monitor) depends on the frequency and severity of symptoms: Holter monitoring is preferred for daily or near-daily symptoms, while event or insertable monitors are better for less frequent symptoms</w:t>
      </w:r>
      <w:hyperlink r:id="rId89">
        <w:r w:rsidDel="00000000" w:rsidR="00000000" w:rsidRPr="00000000">
          <w:rPr>
            <w:color w:val="232323"/>
            <w:sz w:val="24"/>
            <w:szCs w:val="24"/>
            <w:rtl w:val="0"/>
          </w:rPr>
          <w:t xml:space="preserve"> </w:t>
        </w:r>
      </w:hyperlink>
      <w:hyperlink r:id="rId90">
        <w:r w:rsidDel="00000000" w:rsidR="00000000" w:rsidRPr="00000000">
          <w:rPr>
            <w:color w:val="0074b9"/>
            <w:sz w:val="24"/>
            <w:szCs w:val="24"/>
            <w:rtl w:val="0"/>
          </w:rPr>
          <w:t xml:space="preserve">[1]</w:t>
        </w:r>
      </w:hyperlink>
      <w:hyperlink r:id="rId91">
        <w:r w:rsidDel="00000000" w:rsidR="00000000" w:rsidRPr="00000000">
          <w:rPr>
            <w:color w:val="0074b9"/>
            <w:sz w:val="24"/>
            <w:szCs w:val="24"/>
            <w:rtl w:val="0"/>
          </w:rPr>
          <w:t xml:space="preserve">[2]</w:t>
        </w:r>
      </w:hyperlink>
      <w:hyperlink r:id="rId92">
        <w:r w:rsidDel="00000000" w:rsidR="00000000" w:rsidRPr="00000000">
          <w:rPr>
            <w:color w:val="0074b9"/>
            <w:sz w:val="24"/>
            <w:szCs w:val="24"/>
            <w:rtl w:val="0"/>
          </w:rPr>
          <w:t xml:space="preserve">[3]</w:t>
        </w:r>
      </w:hyperlink>
      <w:hyperlink r:id="rId93">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 Ambulatory monitoring is also used for:</w:t>
      </w:r>
    </w:p>
    <w:p w:rsidR="00000000" w:rsidDel="00000000" w:rsidP="00000000" w:rsidRDefault="00000000" w:rsidRPr="00000000" w14:paraId="00000048">
      <w:pPr>
        <w:numPr>
          <w:ilvl w:val="0"/>
          <w:numId w:val="6"/>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Assessing heart rate and rate control in atrial fibrillation </w:t>
      </w:r>
      <w:hyperlink r:id="rId94">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49">
      <w:pPr>
        <w:numPr>
          <w:ilvl w:val="0"/>
          <w:numId w:val="6"/>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Evaluating for occult atrial fibrillation in cryptogenic stroke </w:t>
      </w:r>
      <w:hyperlink r:id="rId95">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4A">
      <w:pPr>
        <w:numPr>
          <w:ilvl w:val="0"/>
          <w:numId w:val="6"/>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Screening for asymptomatic ventricular arrhythmias in conditions like hypertrophic cardiomyopathy, arrhythmogenic right ventricular cardiomyopathy, long QT syndrome, and others </w:t>
      </w:r>
      <w:hyperlink r:id="rId96">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4B">
      <w:pPr>
        <w:numPr>
          <w:ilvl w:val="0"/>
          <w:numId w:val="6"/>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Assessing prognosis after acute coronary syndrome </w:t>
      </w:r>
      <w:hyperlink r:id="rId97">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4C">
      <w:pPr>
        <w:numPr>
          <w:ilvl w:val="0"/>
          <w:numId w:val="6"/>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Detecting silent myocardial ischemia in coronary artery disease </w:t>
      </w:r>
      <w:hyperlink r:id="rId98">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4D">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4E">
      <w:pPr>
        <w:shd w:fill="ffffff" w:val="clear"/>
        <w:spacing w:line="390" w:lineRule="auto"/>
        <w:rPr>
          <w:color w:val="232323"/>
          <w:sz w:val="24"/>
          <w:szCs w:val="24"/>
        </w:rPr>
      </w:pPr>
      <w:r w:rsidDel="00000000" w:rsidR="00000000" w:rsidRPr="00000000">
        <w:rPr>
          <w:color w:val="232323"/>
          <w:sz w:val="24"/>
          <w:szCs w:val="24"/>
          <w:rtl w:val="0"/>
        </w:rPr>
        <w:t xml:space="preserve">A standard EKG is limited to a brief snapshot (about 10 seconds) and may miss transient or paroxysmal arrhythmias, whereas ambulatory monitoring provides extended data and symptom correlation</w:t>
      </w:r>
      <w:hyperlink r:id="rId99">
        <w:r w:rsidDel="00000000" w:rsidR="00000000" w:rsidRPr="00000000">
          <w:rPr>
            <w:color w:val="232323"/>
            <w:sz w:val="24"/>
            <w:szCs w:val="24"/>
            <w:rtl w:val="0"/>
          </w:rPr>
          <w:t xml:space="preserve"> </w:t>
        </w:r>
      </w:hyperlink>
      <w:hyperlink r:id="rId100">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4F">
      <w:pPr>
        <w:shd w:fill="ffffff" w:val="clear"/>
        <w:spacing w:line="390" w:lineRule="auto"/>
        <w:rPr>
          <w:color w:val="232323"/>
          <w:sz w:val="24"/>
          <w:szCs w:val="24"/>
        </w:rPr>
      </w:pPr>
      <w:r w:rsidDel="00000000" w:rsidR="00000000" w:rsidRPr="00000000">
        <w:rPr>
          <w:color w:val="232323"/>
          <w:sz w:val="24"/>
          <w:szCs w:val="24"/>
          <w:rtl w:val="0"/>
        </w:rPr>
        <w:t xml:space="preserve">For a summary of monitoring options, see the</w:t>
      </w:r>
      <w:hyperlink r:id="rId101">
        <w:r w:rsidDel="00000000" w:rsidR="00000000" w:rsidRPr="00000000">
          <w:rPr>
            <w:color w:val="232323"/>
            <w:sz w:val="24"/>
            <w:szCs w:val="24"/>
            <w:rtl w:val="0"/>
          </w:rPr>
          <w:t xml:space="preserve"> </w:t>
        </w:r>
      </w:hyperlink>
      <w:hyperlink r:id="rId102">
        <w:r w:rsidDel="00000000" w:rsidR="00000000" w:rsidRPr="00000000">
          <w:rPr>
            <w:color w:val="0074b9"/>
            <w:sz w:val="24"/>
            <w:szCs w:val="24"/>
            <w:rtl w:val="0"/>
          </w:rPr>
          <w:t xml:space="preserve"> Ambulatory electrocardiographic monitoring capabilities table</w:t>
        </w:r>
      </w:hyperlink>
      <w:r w:rsidDel="00000000" w:rsidR="00000000" w:rsidRPr="00000000">
        <w:rPr>
          <w:color w:val="232323"/>
          <w:sz w:val="24"/>
          <w:szCs w:val="24"/>
          <w:rtl w:val="0"/>
        </w:rPr>
        <w:t xml:space="preserve"> and the</w:t>
      </w:r>
      <w:hyperlink r:id="rId103">
        <w:r w:rsidDel="00000000" w:rsidR="00000000" w:rsidRPr="00000000">
          <w:rPr>
            <w:color w:val="232323"/>
            <w:sz w:val="24"/>
            <w:szCs w:val="24"/>
            <w:rtl w:val="0"/>
          </w:rPr>
          <w:t xml:space="preserve"> </w:t>
        </w:r>
      </w:hyperlink>
      <w:hyperlink r:id="rId104">
        <w:r w:rsidDel="00000000" w:rsidR="00000000" w:rsidRPr="00000000">
          <w:rPr>
            <w:color w:val="0074b9"/>
            <w:sz w:val="24"/>
            <w:szCs w:val="24"/>
            <w:rtl w:val="0"/>
          </w:rPr>
          <w:t xml:space="preserve"> Ambulatory electrocardiographic monitoring clinical scenarios table</w:t>
        </w:r>
      </w:hyperlink>
      <w:hyperlink r:id="rId105">
        <w:r w:rsidDel="00000000" w:rsidR="00000000" w:rsidRPr="00000000">
          <w:rPr>
            <w:color w:val="232323"/>
            <w:sz w:val="24"/>
            <w:szCs w:val="24"/>
            <w:rtl w:val="0"/>
          </w:rPr>
          <w:t xml:space="preserve"> </w:t>
        </w:r>
      </w:hyperlink>
      <w:hyperlink r:id="rId106">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50">
      <w:pPr>
        <w:pStyle w:val="Heading3"/>
        <w:keepNext w:val="0"/>
        <w:keepLines w:val="0"/>
        <w:shd w:fill="ffffff" w:val="clear"/>
        <w:spacing w:after="40" w:before="460" w:line="346.66666666666663" w:lineRule="auto"/>
        <w:rPr>
          <w:b w:val="1"/>
          <w:bCs w:val="1"/>
          <w:color w:val="232323"/>
          <w:sz w:val="27"/>
          <w:szCs w:val="27"/>
        </w:rPr>
      </w:pPr>
      <w:bookmarkStart w:colFirst="0" w:colLast="0" w:name="_9csy9inyox3" w:id="8"/>
      <w:bookmarkEnd w:id="8"/>
      <w:r w:rsidDel="00000000" w:rsidR="00000000" w:rsidRPr="00000000">
        <w:rPr>
          <w:b w:val="1"/>
          <w:bCs w:val="1"/>
          <w:color w:val="232323"/>
          <w:sz w:val="27"/>
          <w:szCs w:val="27"/>
          <w:rtl w:val="0"/>
        </w:rPr>
        <w:t xml:space="preserve">Learn More</w:t>
      </w:r>
    </w:p>
    <w:p w:rsidR="00000000" w:rsidDel="00000000" w:rsidP="00000000" w:rsidRDefault="00000000" w:rsidRPr="00000000" w14:paraId="00000051">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52">
      <w:pPr>
        <w:numPr>
          <w:ilvl w:val="0"/>
          <w:numId w:val="3"/>
        </w:numPr>
        <w:shd w:fill="ffffff" w:val="clear"/>
        <w:spacing w:after="0" w:afterAutospacing="0" w:before="220" w:line="390" w:lineRule="auto"/>
        <w:ind w:left="720" w:hanging="360"/>
      </w:pPr>
      <w:hyperlink r:id="rId107">
        <w:r w:rsidDel="00000000" w:rsidR="00000000" w:rsidRPr="00000000">
          <w:rPr>
            <w:color w:val="0074b9"/>
            <w:sz w:val="24"/>
            <w:szCs w:val="24"/>
            <w:rtl w:val="0"/>
          </w:rPr>
          <w:t xml:space="preserve">How do I choose between Holter, event, and insertable cardiac monitors?</w:t>
        </w:r>
      </w:hyperlink>
      <w:r w:rsidDel="00000000" w:rsidR="00000000" w:rsidRPr="00000000">
        <w:rPr>
          <w:rtl w:val="0"/>
        </w:rPr>
      </w:r>
    </w:p>
    <w:p w:rsidR="00000000" w:rsidDel="00000000" w:rsidP="00000000" w:rsidRDefault="00000000" w:rsidRPr="00000000" w14:paraId="00000053">
      <w:pPr>
        <w:numPr>
          <w:ilvl w:val="0"/>
          <w:numId w:val="3"/>
        </w:numPr>
        <w:shd w:fill="ffffff" w:val="clear"/>
        <w:spacing w:after="0" w:afterAutospacing="0" w:before="0" w:beforeAutospacing="0" w:line="390" w:lineRule="auto"/>
        <w:ind w:left="720" w:hanging="360"/>
      </w:pPr>
      <w:hyperlink r:id="rId108">
        <w:r w:rsidDel="00000000" w:rsidR="00000000" w:rsidRPr="00000000">
          <w:rPr>
            <w:color w:val="0074b9"/>
            <w:sz w:val="24"/>
            <w:szCs w:val="24"/>
            <w:rtl w:val="0"/>
          </w:rPr>
          <w:t xml:space="preserve">What are the limitations of ambulatory ECG monitoring?</w:t>
        </w:r>
      </w:hyperlink>
      <w:r w:rsidDel="00000000" w:rsidR="00000000" w:rsidRPr="00000000">
        <w:rPr>
          <w:rtl w:val="0"/>
        </w:rPr>
      </w:r>
    </w:p>
    <w:p w:rsidR="00000000" w:rsidDel="00000000" w:rsidP="00000000" w:rsidRDefault="00000000" w:rsidRPr="00000000" w14:paraId="00000054">
      <w:pPr>
        <w:numPr>
          <w:ilvl w:val="0"/>
          <w:numId w:val="3"/>
        </w:numPr>
        <w:shd w:fill="ffffff" w:val="clear"/>
        <w:spacing w:after="0" w:afterAutospacing="0" w:before="0" w:beforeAutospacing="0" w:line="390" w:lineRule="auto"/>
        <w:ind w:left="720" w:hanging="360"/>
      </w:pPr>
      <w:hyperlink r:id="rId109">
        <w:r w:rsidDel="00000000" w:rsidR="00000000" w:rsidRPr="00000000">
          <w:rPr>
            <w:color w:val="0074b9"/>
            <w:sz w:val="24"/>
            <w:szCs w:val="24"/>
            <w:rtl w:val="0"/>
          </w:rPr>
          <w:t xml:space="preserve">When is in-hospital telemetry preferred over ambulatory monitoring?</w:t>
        </w:r>
      </w:hyperlink>
      <w:r w:rsidDel="00000000" w:rsidR="00000000" w:rsidRPr="00000000">
        <w:rPr>
          <w:rtl w:val="0"/>
        </w:rPr>
      </w:r>
    </w:p>
    <w:p w:rsidR="00000000" w:rsidDel="00000000" w:rsidP="00000000" w:rsidRDefault="00000000" w:rsidRPr="00000000" w14:paraId="00000055">
      <w:pPr>
        <w:numPr>
          <w:ilvl w:val="0"/>
          <w:numId w:val="3"/>
        </w:numPr>
        <w:shd w:fill="ffffff" w:val="clear"/>
        <w:spacing w:after="0" w:afterAutospacing="0" w:before="0" w:beforeAutospacing="0" w:line="390" w:lineRule="auto"/>
        <w:ind w:left="720" w:hanging="360"/>
      </w:pPr>
      <w:hyperlink r:id="rId110">
        <w:r w:rsidDel="00000000" w:rsidR="00000000" w:rsidRPr="00000000">
          <w:rPr>
            <w:color w:val="0074b9"/>
            <w:sz w:val="24"/>
            <w:szCs w:val="24"/>
            <w:rtl w:val="0"/>
          </w:rPr>
          <w:t xml:space="preserve">How should monitoring be approached in pediatric patients?</w:t>
        </w:r>
      </w:hyperlink>
      <w:r w:rsidDel="00000000" w:rsidR="00000000" w:rsidRPr="00000000">
        <w:rPr>
          <w:rtl w:val="0"/>
        </w:rPr>
      </w:r>
    </w:p>
    <w:p w:rsidR="00000000" w:rsidDel="00000000" w:rsidP="00000000" w:rsidRDefault="00000000" w:rsidRPr="00000000" w14:paraId="00000056">
      <w:pPr>
        <w:numPr>
          <w:ilvl w:val="0"/>
          <w:numId w:val="3"/>
        </w:numPr>
        <w:shd w:fill="ffffff" w:val="clear"/>
        <w:spacing w:after="0" w:afterAutospacing="0" w:before="0" w:beforeAutospacing="0" w:line="390" w:lineRule="auto"/>
        <w:ind w:left="720" w:hanging="360"/>
      </w:pPr>
      <w:hyperlink r:id="rId111">
        <w:r w:rsidDel="00000000" w:rsidR="00000000" w:rsidRPr="00000000">
          <w:rPr>
            <w:color w:val="0074b9"/>
            <w:sz w:val="24"/>
            <w:szCs w:val="24"/>
            <w:rtl w:val="0"/>
          </w:rPr>
          <w:t xml:space="preserve">What is the role of ambulatory monitoring in risk stratification for sudden cardiac death?</w:t>
        </w:r>
      </w:hyperlink>
      <w:r w:rsidDel="00000000" w:rsidR="00000000" w:rsidRPr="00000000">
        <w:rPr>
          <w:rtl w:val="0"/>
        </w:rPr>
      </w:r>
    </w:p>
    <w:p w:rsidR="00000000" w:rsidDel="00000000" w:rsidP="00000000" w:rsidRDefault="00000000" w:rsidRPr="00000000" w14:paraId="00000057">
      <w:pPr>
        <w:numPr>
          <w:ilvl w:val="0"/>
          <w:numId w:val="3"/>
        </w:numPr>
        <w:shd w:fill="ffffff" w:val="clear"/>
        <w:spacing w:after="0" w:afterAutospacing="0" w:before="0" w:beforeAutospacing="0" w:line="390" w:lineRule="auto"/>
        <w:ind w:left="720" w:hanging="360"/>
      </w:pPr>
      <w:hyperlink r:id="rId112">
        <w:r w:rsidDel="00000000" w:rsidR="00000000" w:rsidRPr="00000000">
          <w:rPr>
            <w:color w:val="0074b9"/>
            <w:sz w:val="24"/>
            <w:szCs w:val="24"/>
            <w:rtl w:val="0"/>
          </w:rPr>
          <w:t xml:space="preserve">How do I interpret symptom-rhythm correlation in ambulatory monitoring?</w:t>
        </w:r>
      </w:hyperlink>
      <w:r w:rsidDel="00000000" w:rsidR="00000000" w:rsidRPr="00000000">
        <w:rPr>
          <w:rtl w:val="0"/>
        </w:rPr>
      </w:r>
    </w:p>
    <w:p w:rsidR="00000000" w:rsidDel="00000000" w:rsidP="00000000" w:rsidRDefault="00000000" w:rsidRPr="00000000" w14:paraId="00000058">
      <w:pPr>
        <w:numPr>
          <w:ilvl w:val="0"/>
          <w:numId w:val="3"/>
        </w:numPr>
        <w:shd w:fill="ffffff" w:val="clear"/>
        <w:spacing w:before="0" w:beforeAutospacing="0" w:line="390" w:lineRule="auto"/>
        <w:ind w:left="720" w:hanging="360"/>
      </w:pPr>
      <w:hyperlink r:id="rId113">
        <w:r w:rsidDel="00000000" w:rsidR="00000000" w:rsidRPr="00000000">
          <w:rPr>
            <w:color w:val="0074b9"/>
            <w:sz w:val="24"/>
            <w:szCs w:val="24"/>
            <w:rtl w:val="0"/>
          </w:rPr>
          <w:t xml:space="preserve">What are the indications for ambulatory monitoring in patients with structural heart disease?</w:t>
        </w:r>
      </w:hyperlink>
      <w:r w:rsidDel="00000000" w:rsidR="00000000" w:rsidRPr="00000000">
        <w:rPr>
          <w:rtl w:val="0"/>
        </w:rPr>
      </w:r>
    </w:p>
    <w:p w:rsidR="00000000" w:rsidDel="00000000" w:rsidP="00000000" w:rsidRDefault="00000000" w:rsidRPr="00000000" w14:paraId="00000059">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about a particular monitoring scenario.</w:t>
      </w:r>
    </w:p>
    <w:p w:rsidR="00000000" w:rsidDel="00000000" w:rsidP="00000000" w:rsidRDefault="00000000" w:rsidRPr="00000000" w14:paraId="0000005A">
      <w:pPr>
        <w:pStyle w:val="Heading3"/>
        <w:keepNext w:val="0"/>
        <w:keepLines w:val="0"/>
        <w:shd w:fill="ffffff" w:val="clear"/>
        <w:spacing w:after="40" w:before="460" w:line="346.66666666666663" w:lineRule="auto"/>
        <w:rPr>
          <w:b w:val="1"/>
          <w:bCs w:val="1"/>
          <w:color w:val="232323"/>
          <w:sz w:val="27"/>
          <w:szCs w:val="27"/>
        </w:rPr>
      </w:pPr>
      <w:bookmarkStart w:colFirst="0" w:colLast="0" w:name="_to2tpr1si0if" w:id="9"/>
      <w:bookmarkEnd w:id="9"/>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5B">
      <w:pPr>
        <w:numPr>
          <w:ilvl w:val="0"/>
          <w:numId w:val="2"/>
        </w:numPr>
        <w:shd w:fill="ffffff" w:val="clear"/>
        <w:spacing w:after="0" w:afterAutospacing="0" w:before="240" w:lineRule="auto"/>
        <w:ind w:left="720" w:hanging="360"/>
      </w:pPr>
      <w:hyperlink r:id="rId114">
        <w:r w:rsidDel="00000000" w:rsidR="00000000" w:rsidRPr="00000000">
          <w:rPr>
            <w:color w:val="0074b9"/>
            <w:sz w:val="24"/>
            <w:szCs w:val="24"/>
            <w:rtl w:val="0"/>
          </w:rPr>
          <w:t xml:space="preserve">Ambulatory ECG monitoring &gt; INDICATIONS</w:t>
        </w:r>
      </w:hyperlink>
      <w:r w:rsidDel="00000000" w:rsidR="00000000" w:rsidRPr="00000000">
        <w:rPr>
          <w:rtl w:val="0"/>
        </w:rPr>
      </w:r>
    </w:p>
    <w:p w:rsidR="00000000" w:rsidDel="00000000" w:rsidP="00000000" w:rsidRDefault="00000000" w:rsidRPr="00000000" w14:paraId="0000005C">
      <w:pPr>
        <w:numPr>
          <w:ilvl w:val="0"/>
          <w:numId w:val="2"/>
        </w:numPr>
        <w:shd w:fill="ffffff" w:val="clear"/>
        <w:spacing w:after="0" w:afterAutospacing="0" w:before="0" w:beforeAutospacing="0" w:lineRule="auto"/>
        <w:ind w:left="720" w:hanging="360"/>
      </w:pPr>
      <w:hyperlink r:id="rId115">
        <w:r w:rsidDel="00000000" w:rsidR="00000000" w:rsidRPr="00000000">
          <w:rPr>
            <w:color w:val="0074b9"/>
            <w:sz w:val="24"/>
            <w:szCs w:val="24"/>
            <w:rtl w:val="0"/>
          </w:rPr>
          <w:t xml:space="preserve">Ambulatory ECG monitoring &gt; SUMMARY AND RECOMMENDATIONS</w:t>
        </w:r>
      </w:hyperlink>
      <w:r w:rsidDel="00000000" w:rsidR="00000000" w:rsidRPr="00000000">
        <w:rPr>
          <w:rtl w:val="0"/>
        </w:rPr>
      </w:r>
    </w:p>
    <w:p w:rsidR="00000000" w:rsidDel="00000000" w:rsidP="00000000" w:rsidRDefault="00000000" w:rsidRPr="00000000" w14:paraId="0000005D">
      <w:pPr>
        <w:numPr>
          <w:ilvl w:val="0"/>
          <w:numId w:val="2"/>
        </w:numPr>
        <w:shd w:fill="ffffff" w:val="clear"/>
        <w:spacing w:after="0" w:afterAutospacing="0" w:before="0" w:beforeAutospacing="0" w:lineRule="auto"/>
        <w:ind w:left="720" w:hanging="360"/>
      </w:pPr>
      <w:hyperlink r:id="rId116">
        <w:r w:rsidDel="00000000" w:rsidR="00000000" w:rsidRPr="00000000">
          <w:rPr>
            <w:color w:val="0074b9"/>
            <w:sz w:val="24"/>
            <w:szCs w:val="24"/>
            <w:rtl w:val="0"/>
          </w:rPr>
          <w:t xml:space="preserve">Ambulatory ECG monitoring &gt; OUR APPROACH TO CHOOSING AN AMBULATORY ECG MONITORING STRATEGY &gt; When to choose continuous ECG (Holter) monitoring</w:t>
        </w:r>
      </w:hyperlink>
      <w:r w:rsidDel="00000000" w:rsidR="00000000" w:rsidRPr="00000000">
        <w:rPr>
          <w:rtl w:val="0"/>
        </w:rPr>
      </w:r>
    </w:p>
    <w:p w:rsidR="00000000" w:rsidDel="00000000" w:rsidP="00000000" w:rsidRDefault="00000000" w:rsidRPr="00000000" w14:paraId="0000005E">
      <w:pPr>
        <w:numPr>
          <w:ilvl w:val="0"/>
          <w:numId w:val="2"/>
        </w:numPr>
        <w:shd w:fill="ffffff" w:val="clear"/>
        <w:spacing w:before="0" w:beforeAutospacing="0" w:lineRule="auto"/>
        <w:ind w:left="720" w:hanging="360"/>
      </w:pPr>
      <w:hyperlink r:id="rId117">
        <w:r w:rsidDel="00000000" w:rsidR="00000000" w:rsidRPr="00000000">
          <w:rPr>
            <w:color w:val="0074b9"/>
            <w:sz w:val="24"/>
            <w:szCs w:val="24"/>
            <w:rtl w:val="0"/>
          </w:rPr>
          <w:t xml:space="preserve">Ambulatory ECG monitoring &gt; OUR APPROACH TO CHOOSING AN AMBULATORY ECG MONITORING STRATEGY &gt; When to choose event monitoring</w:t>
        </w:r>
      </w:hyperlink>
      <w:r w:rsidDel="00000000" w:rsidR="00000000" w:rsidRPr="00000000">
        <w:rPr>
          <w:rtl w:val="0"/>
        </w:rPr>
      </w:r>
    </w:p>
    <w:p w:rsidR="00000000" w:rsidDel="00000000" w:rsidP="00000000" w:rsidRDefault="00000000" w:rsidRPr="00000000" w14:paraId="0000005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n2e3gxhzvdg"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136</w:t>
      </w:r>
      <w:r w:rsidDel="00000000" w:rsidR="00000000" w:rsidRPr="00000000">
        <w:rPr>
          <w:rtl w:val="0"/>
        </w:rPr>
      </w:r>
    </w:p>
    <w:p w:rsidR="00000000" w:rsidDel="00000000" w:rsidP="00000000" w:rsidRDefault="00000000" w:rsidRPr="00000000" w14:paraId="00000061">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the long-term fracture risks associated with daily use of proton pump inhibitors (PPIs) in adults.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hd w:fill="ffffff" w:val="clear"/>
        <w:spacing w:line="390" w:lineRule="auto"/>
        <w:rPr>
          <w:color w:val="232323"/>
          <w:sz w:val="24"/>
          <w:szCs w:val="24"/>
        </w:rPr>
      </w:pPr>
      <w:r w:rsidDel="00000000" w:rsidR="00000000" w:rsidRPr="00000000">
        <w:rPr>
          <w:color w:val="232323"/>
          <w:sz w:val="24"/>
          <w:szCs w:val="24"/>
          <w:rtl w:val="0"/>
        </w:rPr>
        <w:t xml:space="preserve">Long-term use of PPIs has been consistently associated with a modestly increased risk of fractures, particularly of the hip, spine, and wrist, although causality has not been definitively established</w:t>
      </w:r>
      <w:hyperlink r:id="rId118">
        <w:r w:rsidDel="00000000" w:rsidR="00000000" w:rsidRPr="00000000">
          <w:rPr>
            <w:color w:val="232323"/>
            <w:sz w:val="24"/>
            <w:szCs w:val="24"/>
            <w:rtl w:val="0"/>
          </w:rPr>
          <w:t xml:space="preserve"> </w:t>
        </w:r>
      </w:hyperlink>
      <w:hyperlink r:id="rId119">
        <w:r w:rsidDel="00000000" w:rsidR="00000000" w:rsidRPr="00000000">
          <w:rPr>
            <w:color w:val="0074b9"/>
            <w:sz w:val="24"/>
            <w:szCs w:val="24"/>
            <w:rtl w:val="0"/>
          </w:rPr>
          <w:t xml:space="preserve">[1]</w:t>
        </w:r>
      </w:hyperlink>
      <w:hyperlink r:id="rId120">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 Meta-analyses of case-control and cohort studies show relative risks for hip, spine, and any-site fractures in PPI users ranging from 1.16 to 1.56 compared to non-users</w:t>
      </w:r>
      <w:hyperlink r:id="rId121">
        <w:r w:rsidDel="00000000" w:rsidR="00000000" w:rsidRPr="00000000">
          <w:rPr>
            <w:color w:val="232323"/>
            <w:sz w:val="24"/>
            <w:szCs w:val="24"/>
            <w:rtl w:val="0"/>
          </w:rPr>
          <w:t xml:space="preserve"> </w:t>
        </w:r>
      </w:hyperlink>
      <w:hyperlink r:id="rId122">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 The risk appears to be highest in long-term users of high-dose PPI therapy and may be more pronounced in individuals with additional risk factors for fracture, such as older age, postmenopausal status, or concurrent use of other medications that affect bone metabolism</w:t>
      </w:r>
      <w:hyperlink r:id="rId123">
        <w:r w:rsidDel="00000000" w:rsidR="00000000" w:rsidRPr="00000000">
          <w:rPr>
            <w:color w:val="232323"/>
            <w:sz w:val="24"/>
            <w:szCs w:val="24"/>
            <w:rtl w:val="0"/>
          </w:rPr>
          <w:t xml:space="preserve"> </w:t>
        </w:r>
      </w:hyperlink>
      <w:hyperlink r:id="rId124">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64">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65">
      <w:pPr>
        <w:shd w:fill="ffffff" w:val="clear"/>
        <w:spacing w:line="390" w:lineRule="auto"/>
        <w:rPr>
          <w:color w:val="232323"/>
          <w:sz w:val="24"/>
          <w:szCs w:val="24"/>
        </w:rPr>
      </w:pPr>
      <w:r w:rsidDel="00000000" w:rsidR="00000000" w:rsidRPr="00000000">
        <w:rPr>
          <w:color w:val="232323"/>
          <w:sz w:val="24"/>
          <w:szCs w:val="24"/>
          <w:rtl w:val="0"/>
        </w:rPr>
        <w:t xml:space="preserve">The mechanism is thought to involve reduced absorption of insoluble calcium (such as calcium carbonate) due to PPI-induced hypochlorhydria, which can be overcome by using calcium supplements that do not require acid for absorption (e.g., calcium citrate)</w:t>
      </w:r>
      <w:hyperlink r:id="rId125">
        <w:r w:rsidDel="00000000" w:rsidR="00000000" w:rsidRPr="00000000">
          <w:rPr>
            <w:color w:val="232323"/>
            <w:sz w:val="24"/>
            <w:szCs w:val="24"/>
            <w:rtl w:val="0"/>
          </w:rPr>
          <w:t xml:space="preserve"> </w:t>
        </w:r>
      </w:hyperlink>
      <w:hyperlink r:id="rId126">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 PPI-induced hypochlorhydria may also augment osteoclastic activity, potentially decreasing bone density</w:t>
      </w:r>
      <w:hyperlink r:id="rId127">
        <w:r w:rsidDel="00000000" w:rsidR="00000000" w:rsidRPr="00000000">
          <w:rPr>
            <w:color w:val="232323"/>
            <w:sz w:val="24"/>
            <w:szCs w:val="24"/>
            <w:rtl w:val="0"/>
          </w:rPr>
          <w:t xml:space="preserve"> </w:t>
        </w:r>
      </w:hyperlink>
      <w:hyperlink r:id="rId128">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 However, the largest prospective cohort study did not find an association between PPI use and hip fracture, but did find increased risk for vertebral, wrist, and total fractures</w:t>
      </w:r>
      <w:hyperlink r:id="rId129">
        <w:r w:rsidDel="00000000" w:rsidR="00000000" w:rsidRPr="00000000">
          <w:rPr>
            <w:color w:val="232323"/>
            <w:sz w:val="24"/>
            <w:szCs w:val="24"/>
            <w:rtl w:val="0"/>
          </w:rPr>
          <w:t xml:space="preserve"> </w:t>
        </w:r>
      </w:hyperlink>
      <w:hyperlink r:id="rId130">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66">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67">
      <w:pPr>
        <w:shd w:fill="ffffff" w:val="clear"/>
        <w:spacing w:line="390" w:lineRule="auto"/>
        <w:rPr>
          <w:color w:val="232323"/>
          <w:sz w:val="24"/>
          <w:szCs w:val="24"/>
        </w:rPr>
      </w:pPr>
      <w:r w:rsidDel="00000000" w:rsidR="00000000" w:rsidRPr="00000000">
        <w:rPr>
          <w:color w:val="232323"/>
          <w:sz w:val="24"/>
          <w:szCs w:val="24"/>
          <w:rtl w:val="0"/>
        </w:rPr>
        <w:t xml:space="preserve">The FDA has mandated revised safety information on all PPIs regarding a possible increased risk of fractures of the hip, wrist, and spine</w:t>
      </w:r>
      <w:hyperlink r:id="rId131">
        <w:r w:rsidDel="00000000" w:rsidR="00000000" w:rsidRPr="00000000">
          <w:rPr>
            <w:color w:val="232323"/>
            <w:sz w:val="24"/>
            <w:szCs w:val="24"/>
            <w:rtl w:val="0"/>
          </w:rPr>
          <w:t xml:space="preserve"> </w:t>
        </w:r>
      </w:hyperlink>
      <w:hyperlink r:id="rId132">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 Despite these associations, causality has not been established, and the absolute risk increase is considered modest</w:t>
      </w:r>
      <w:hyperlink r:id="rId133">
        <w:r w:rsidDel="00000000" w:rsidR="00000000" w:rsidRPr="00000000">
          <w:rPr>
            <w:color w:val="232323"/>
            <w:sz w:val="24"/>
            <w:szCs w:val="24"/>
            <w:rtl w:val="0"/>
          </w:rPr>
          <w:t xml:space="preserve"> </w:t>
        </w:r>
      </w:hyperlink>
      <w:hyperlink r:id="rId134">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68">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69">
      <w:pPr>
        <w:shd w:fill="ffffff" w:val="clear"/>
        <w:spacing w:line="390" w:lineRule="auto"/>
        <w:rPr>
          <w:color w:val="232323"/>
          <w:sz w:val="24"/>
          <w:szCs w:val="24"/>
        </w:rPr>
      </w:pPr>
      <w:r w:rsidDel="00000000" w:rsidR="00000000" w:rsidRPr="00000000">
        <w:rPr>
          <w:color w:val="232323"/>
          <w:sz w:val="24"/>
          <w:szCs w:val="24"/>
          <w:rtl w:val="0"/>
        </w:rPr>
        <w:t xml:space="preserve">For patients requiring calcium supplementation while on PPIs, calcium citrate is preferred over calcium carbonate</w:t>
      </w:r>
      <w:hyperlink r:id="rId135">
        <w:r w:rsidDel="00000000" w:rsidR="00000000" w:rsidRPr="00000000">
          <w:rPr>
            <w:color w:val="232323"/>
            <w:sz w:val="24"/>
            <w:szCs w:val="24"/>
            <w:rtl w:val="0"/>
          </w:rPr>
          <w:t xml:space="preserve"> </w:t>
        </w:r>
      </w:hyperlink>
      <w:hyperlink r:id="rId136">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6A">
      <w:pPr>
        <w:pStyle w:val="Heading3"/>
        <w:keepNext w:val="0"/>
        <w:keepLines w:val="0"/>
        <w:shd w:fill="ffffff" w:val="clear"/>
        <w:spacing w:after="40" w:before="460" w:line="346.66666666666663" w:lineRule="auto"/>
        <w:rPr>
          <w:b w:val="1"/>
          <w:bCs w:val="1"/>
          <w:color w:val="232323"/>
          <w:sz w:val="27"/>
          <w:szCs w:val="27"/>
        </w:rPr>
      </w:pPr>
      <w:bookmarkStart w:colFirst="0" w:colLast="0" w:name="_x84v8ww5j8ca" w:id="11"/>
      <w:bookmarkEnd w:id="11"/>
      <w:r w:rsidDel="00000000" w:rsidR="00000000" w:rsidRPr="00000000">
        <w:rPr>
          <w:b w:val="1"/>
          <w:bCs w:val="1"/>
          <w:color w:val="232323"/>
          <w:sz w:val="27"/>
          <w:szCs w:val="27"/>
          <w:rtl w:val="0"/>
        </w:rPr>
        <w:t xml:space="preserve">Key Points</w:t>
      </w:r>
    </w:p>
    <w:p w:rsidR="00000000" w:rsidDel="00000000" w:rsidP="00000000" w:rsidRDefault="00000000" w:rsidRPr="00000000" w14:paraId="0000006B">
      <w:pPr>
        <w:numPr>
          <w:ilvl w:val="0"/>
          <w:numId w:val="10"/>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Long-term PPI use is associated with a modestly increased risk of fractures, especially of the hip, spine, and wrist, but causality is not definitively established </w:t>
      </w:r>
      <w:hyperlink r:id="rId137">
        <w:r w:rsidDel="00000000" w:rsidR="00000000" w:rsidRPr="00000000">
          <w:rPr>
            <w:color w:val="0074b9"/>
            <w:sz w:val="24"/>
            <w:szCs w:val="24"/>
            <w:rtl w:val="0"/>
          </w:rPr>
          <w:t xml:space="preserve">[1]</w:t>
        </w:r>
      </w:hyperlink>
      <w:hyperlink r:id="rId138">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6C">
      <w:pPr>
        <w:numPr>
          <w:ilvl w:val="0"/>
          <w:numId w:val="10"/>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The risk may be higher in long-term, high-dose users and those with additional fracture risk factors </w:t>
      </w:r>
      <w:hyperlink r:id="rId139">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6D">
      <w:pPr>
        <w:numPr>
          <w:ilvl w:val="0"/>
          <w:numId w:val="10"/>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Use calcium citrate for supplementation in patients on PPIs, as absorption of calcium carbonate may be impaired </w:t>
      </w:r>
      <w:hyperlink r:id="rId140">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6E">
      <w:pPr>
        <w:pStyle w:val="Heading3"/>
        <w:keepNext w:val="0"/>
        <w:keepLines w:val="0"/>
        <w:shd w:fill="ffffff" w:val="clear"/>
        <w:spacing w:after="40" w:before="460" w:line="346.66666666666663" w:lineRule="auto"/>
        <w:rPr>
          <w:b w:val="1"/>
          <w:bCs w:val="1"/>
          <w:color w:val="232323"/>
          <w:sz w:val="27"/>
          <w:szCs w:val="27"/>
        </w:rPr>
      </w:pPr>
      <w:bookmarkStart w:colFirst="0" w:colLast="0" w:name="_w4lbnbng4fof" w:id="12"/>
      <w:bookmarkEnd w:id="12"/>
      <w:r w:rsidDel="00000000" w:rsidR="00000000" w:rsidRPr="00000000">
        <w:rPr>
          <w:b w:val="1"/>
          <w:bCs w:val="1"/>
          <w:color w:val="232323"/>
          <w:sz w:val="27"/>
          <w:szCs w:val="27"/>
          <w:rtl w:val="0"/>
        </w:rPr>
        <w:t xml:space="preserve">Learn More</w:t>
      </w:r>
    </w:p>
    <w:p w:rsidR="00000000" w:rsidDel="00000000" w:rsidP="00000000" w:rsidRDefault="00000000" w:rsidRPr="00000000" w14:paraId="0000006F">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70">
      <w:pPr>
        <w:numPr>
          <w:ilvl w:val="0"/>
          <w:numId w:val="8"/>
        </w:numPr>
        <w:shd w:fill="ffffff" w:val="clear"/>
        <w:spacing w:after="0" w:afterAutospacing="0" w:before="220" w:line="390" w:lineRule="auto"/>
        <w:ind w:left="720" w:hanging="360"/>
      </w:pPr>
      <w:hyperlink r:id="rId141">
        <w:r w:rsidDel="00000000" w:rsidR="00000000" w:rsidRPr="00000000">
          <w:rPr>
            <w:color w:val="0074b9"/>
            <w:sz w:val="24"/>
            <w:szCs w:val="24"/>
            <w:rtl w:val="0"/>
          </w:rPr>
          <w:t xml:space="preserve">What are the mechanisms by which PPIs may increase fracture risk?</w:t>
        </w:r>
      </w:hyperlink>
      <w:r w:rsidDel="00000000" w:rsidR="00000000" w:rsidRPr="00000000">
        <w:rPr>
          <w:rtl w:val="0"/>
        </w:rPr>
      </w:r>
    </w:p>
    <w:p w:rsidR="00000000" w:rsidDel="00000000" w:rsidP="00000000" w:rsidRDefault="00000000" w:rsidRPr="00000000" w14:paraId="00000071">
      <w:pPr>
        <w:numPr>
          <w:ilvl w:val="0"/>
          <w:numId w:val="8"/>
        </w:numPr>
        <w:shd w:fill="ffffff" w:val="clear"/>
        <w:spacing w:after="0" w:afterAutospacing="0" w:before="0" w:beforeAutospacing="0" w:line="390" w:lineRule="auto"/>
        <w:ind w:left="720" w:hanging="360"/>
      </w:pPr>
      <w:hyperlink r:id="rId142">
        <w:r w:rsidDel="00000000" w:rsidR="00000000" w:rsidRPr="00000000">
          <w:rPr>
            <w:color w:val="0074b9"/>
            <w:sz w:val="24"/>
            <w:szCs w:val="24"/>
            <w:rtl w:val="0"/>
          </w:rPr>
          <w:t xml:space="preserve">How should fracture risk be assessed in patients on long-term PPIs?</w:t>
        </w:r>
      </w:hyperlink>
      <w:r w:rsidDel="00000000" w:rsidR="00000000" w:rsidRPr="00000000">
        <w:rPr>
          <w:rtl w:val="0"/>
        </w:rPr>
      </w:r>
    </w:p>
    <w:p w:rsidR="00000000" w:rsidDel="00000000" w:rsidP="00000000" w:rsidRDefault="00000000" w:rsidRPr="00000000" w14:paraId="00000072">
      <w:pPr>
        <w:numPr>
          <w:ilvl w:val="0"/>
          <w:numId w:val="8"/>
        </w:numPr>
        <w:shd w:fill="ffffff" w:val="clear"/>
        <w:spacing w:after="0" w:afterAutospacing="0" w:before="0" w:beforeAutospacing="0" w:line="390" w:lineRule="auto"/>
        <w:ind w:left="720" w:hanging="360"/>
      </w:pPr>
      <w:hyperlink r:id="rId143">
        <w:r w:rsidDel="00000000" w:rsidR="00000000" w:rsidRPr="00000000">
          <w:rPr>
            <w:color w:val="0074b9"/>
            <w:sz w:val="24"/>
            <w:szCs w:val="24"/>
            <w:rtl w:val="0"/>
          </w:rPr>
          <w:t xml:space="preserve">Are there alternatives to PPIs for patients at high risk of fracture?</w:t>
        </w:r>
      </w:hyperlink>
      <w:r w:rsidDel="00000000" w:rsidR="00000000" w:rsidRPr="00000000">
        <w:rPr>
          <w:rtl w:val="0"/>
        </w:rPr>
      </w:r>
    </w:p>
    <w:p w:rsidR="00000000" w:rsidDel="00000000" w:rsidP="00000000" w:rsidRDefault="00000000" w:rsidRPr="00000000" w14:paraId="00000073">
      <w:pPr>
        <w:numPr>
          <w:ilvl w:val="0"/>
          <w:numId w:val="8"/>
        </w:numPr>
        <w:shd w:fill="ffffff" w:val="clear"/>
        <w:spacing w:after="0" w:afterAutospacing="0" w:before="0" w:beforeAutospacing="0" w:line="390" w:lineRule="auto"/>
        <w:ind w:left="720" w:hanging="360"/>
      </w:pPr>
      <w:hyperlink r:id="rId144">
        <w:r w:rsidDel="00000000" w:rsidR="00000000" w:rsidRPr="00000000">
          <w:rPr>
            <w:color w:val="0074b9"/>
            <w:sz w:val="24"/>
            <w:szCs w:val="24"/>
            <w:rtl w:val="0"/>
          </w:rPr>
          <w:t xml:space="preserve">What monitoring is recommended for patients on long-term PPIs?</w:t>
        </w:r>
      </w:hyperlink>
      <w:r w:rsidDel="00000000" w:rsidR="00000000" w:rsidRPr="00000000">
        <w:rPr>
          <w:rtl w:val="0"/>
        </w:rPr>
      </w:r>
    </w:p>
    <w:p w:rsidR="00000000" w:rsidDel="00000000" w:rsidP="00000000" w:rsidRDefault="00000000" w:rsidRPr="00000000" w14:paraId="00000074">
      <w:pPr>
        <w:numPr>
          <w:ilvl w:val="0"/>
          <w:numId w:val="8"/>
        </w:numPr>
        <w:shd w:fill="ffffff" w:val="clear"/>
        <w:spacing w:before="0" w:beforeAutospacing="0" w:line="390" w:lineRule="auto"/>
        <w:ind w:left="720" w:hanging="360"/>
      </w:pPr>
      <w:hyperlink r:id="rId145">
        <w:r w:rsidDel="00000000" w:rsidR="00000000" w:rsidRPr="00000000">
          <w:rPr>
            <w:color w:val="0074b9"/>
            <w:sz w:val="24"/>
            <w:szCs w:val="24"/>
            <w:rtl w:val="0"/>
          </w:rPr>
          <w:t xml:space="preserve">How should calcium and vitamin D supplementation be managed in PPI users?</w:t>
        </w:r>
      </w:hyperlink>
      <w:r w:rsidDel="00000000" w:rsidR="00000000" w:rsidRPr="00000000">
        <w:rPr>
          <w:rtl w:val="0"/>
        </w:rPr>
      </w:r>
    </w:p>
    <w:p w:rsidR="00000000" w:rsidDel="00000000" w:rsidP="00000000" w:rsidRDefault="00000000" w:rsidRPr="00000000" w14:paraId="00000075">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about fracture risk in special populations.</w:t>
      </w:r>
    </w:p>
    <w:p w:rsidR="00000000" w:rsidDel="00000000" w:rsidP="00000000" w:rsidRDefault="00000000" w:rsidRPr="00000000" w14:paraId="00000076">
      <w:pPr>
        <w:pStyle w:val="Heading3"/>
        <w:keepNext w:val="0"/>
        <w:keepLines w:val="0"/>
        <w:shd w:fill="ffffff" w:val="clear"/>
        <w:spacing w:after="40" w:before="460" w:line="346.66666666666663" w:lineRule="auto"/>
        <w:rPr>
          <w:b w:val="1"/>
          <w:bCs w:val="1"/>
          <w:color w:val="232323"/>
          <w:sz w:val="27"/>
          <w:szCs w:val="27"/>
        </w:rPr>
      </w:pPr>
      <w:bookmarkStart w:colFirst="0" w:colLast="0" w:name="_ael7saqqyvxh" w:id="13"/>
      <w:bookmarkEnd w:id="13"/>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77">
      <w:pPr>
        <w:numPr>
          <w:ilvl w:val="0"/>
          <w:numId w:val="5"/>
        </w:numPr>
        <w:shd w:fill="ffffff" w:val="clear"/>
        <w:spacing w:after="0" w:afterAutospacing="0" w:before="240" w:lineRule="auto"/>
        <w:ind w:left="720" w:hanging="360"/>
      </w:pPr>
      <w:hyperlink r:id="rId146">
        <w:r w:rsidDel="00000000" w:rsidR="00000000" w:rsidRPr="00000000">
          <w:rPr>
            <w:color w:val="0074b9"/>
            <w:sz w:val="24"/>
            <w:szCs w:val="24"/>
            <w:rtl w:val="0"/>
          </w:rPr>
          <w:t xml:space="preserve">Drugs that affect bone metabolism &gt; DRUGS WITH POSSIBLE ADVERSE EFFECTS &gt; Gastric acid inhibitors</w:t>
        </w:r>
      </w:hyperlink>
      <w:r w:rsidDel="00000000" w:rsidR="00000000" w:rsidRPr="00000000">
        <w:rPr>
          <w:rtl w:val="0"/>
        </w:rPr>
      </w:r>
    </w:p>
    <w:p w:rsidR="00000000" w:rsidDel="00000000" w:rsidP="00000000" w:rsidRDefault="00000000" w:rsidRPr="00000000" w14:paraId="00000078">
      <w:pPr>
        <w:numPr>
          <w:ilvl w:val="0"/>
          <w:numId w:val="5"/>
        </w:numPr>
        <w:shd w:fill="ffffff" w:val="clear"/>
        <w:spacing w:before="0" w:beforeAutospacing="0" w:lineRule="auto"/>
        <w:ind w:left="720" w:hanging="360"/>
      </w:pPr>
      <w:hyperlink r:id="rId147">
        <w:r w:rsidDel="00000000" w:rsidR="00000000" w:rsidRPr="00000000">
          <w:rPr>
            <w:color w:val="0074b9"/>
            <w:sz w:val="24"/>
            <w:szCs w:val="24"/>
            <w:rtl w:val="0"/>
          </w:rPr>
          <w:t xml:space="preserve">Proton pump inhibitors: Overview of use and adverse effects in the treatment of acid related disorders &gt; ADVERSE EFFECTS &gt; Malabsorption of minerals and vitamins &gt; Calcium and fracture risk</w:t>
        </w:r>
      </w:hyperlink>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rFonts w:ascii="Arial" w:cs="Arial" w:eastAsia="Arial" w:hAnsi="Arial"/>
        <w:color w:val="23232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uptodate.com/contents/6680#H2263635730" TargetMode="External"/><Relationship Id="rId42" Type="http://schemas.openxmlformats.org/officeDocument/2006/relationships/hyperlink" Target="https://www.uptodate.com/contents/6680#H13347312" TargetMode="External"/><Relationship Id="rId41" Type="http://schemas.openxmlformats.org/officeDocument/2006/relationships/hyperlink" Target="https://www.uptodate.com/contents/6680#H2263635730" TargetMode="External"/><Relationship Id="rId44" Type="http://schemas.openxmlformats.org/officeDocument/2006/relationships/hyperlink" Target="https://www.uptodate.com/contents/990#H1878743431" TargetMode="External"/><Relationship Id="rId43" Type="http://schemas.openxmlformats.org/officeDocument/2006/relationships/hyperlink" Target="https://www.uptodate.com/contents/6680#H17" TargetMode="External"/><Relationship Id="rId46" Type="http://schemas.openxmlformats.org/officeDocument/2006/relationships/hyperlink" Target="https://www.uptodate.com/contents/6835#H469560504" TargetMode="External"/><Relationship Id="rId45" Type="http://schemas.openxmlformats.org/officeDocument/2006/relationships/hyperlink" Target="https://www.uptodate.com/contents/990#H1878743431" TargetMode="External"/><Relationship Id="rId107" Type="http://schemas.openxmlformats.org/officeDocument/2006/relationships/hyperlink" Target="https://ai.uptodate.com/" TargetMode="External"/><Relationship Id="rId106" Type="http://schemas.openxmlformats.org/officeDocument/2006/relationships/hyperlink" Target="https://www.uptodate.com/contents/958#H8776496" TargetMode="External"/><Relationship Id="rId105" Type="http://schemas.openxmlformats.org/officeDocument/2006/relationships/hyperlink" Target="https://www.uptodate.com/contents/958#H8776496" TargetMode="External"/><Relationship Id="rId104" Type="http://schemas.openxmlformats.org/officeDocument/2006/relationships/hyperlink" Target="https://www.uptodate.com/contents/image?imageKey=120898&amp;source=expert-ai&amp;graphic-type=table" TargetMode="External"/><Relationship Id="rId109" Type="http://schemas.openxmlformats.org/officeDocument/2006/relationships/hyperlink" Target="https://ai.uptodate.com/" TargetMode="External"/><Relationship Id="rId108" Type="http://schemas.openxmlformats.org/officeDocument/2006/relationships/hyperlink" Target="https://ai.uptodate.com/" TargetMode="External"/><Relationship Id="rId48" Type="http://schemas.openxmlformats.org/officeDocument/2006/relationships/hyperlink" Target="https://www.uptodate.com/contents/6680#H20171346" TargetMode="External"/><Relationship Id="rId47" Type="http://schemas.openxmlformats.org/officeDocument/2006/relationships/hyperlink" Target="https://www.uptodate.com/contents/6680#H20171700" TargetMode="External"/><Relationship Id="rId49" Type="http://schemas.openxmlformats.org/officeDocument/2006/relationships/hyperlink" Target="https://www.uptodate.com/contents/6680#H3387354762" TargetMode="External"/><Relationship Id="rId103" Type="http://schemas.openxmlformats.org/officeDocument/2006/relationships/hyperlink" Target="https://www.uptodate.com/contents/image?imageKey=120898&amp;source=expert-ai&amp;graphic-type=table" TargetMode="External"/><Relationship Id="rId102" Type="http://schemas.openxmlformats.org/officeDocument/2006/relationships/hyperlink" Target="https://www.uptodate.com/contents/image?imageKey=120899&amp;source=expert-ai&amp;graphic-type=table" TargetMode="External"/><Relationship Id="rId101" Type="http://schemas.openxmlformats.org/officeDocument/2006/relationships/hyperlink" Target="https://www.uptodate.com/contents/image?imageKey=120899&amp;source=expert-ai&amp;graphic-type=table" TargetMode="External"/><Relationship Id="rId100" Type="http://schemas.openxmlformats.org/officeDocument/2006/relationships/hyperlink" Target="https://www.uptodate.com/contents/958#H8776496" TargetMode="External"/><Relationship Id="rId31" Type="http://schemas.openxmlformats.org/officeDocument/2006/relationships/hyperlink" Target="https://www.uptodate.com/contents/6680#H20171700" TargetMode="External"/><Relationship Id="rId30" Type="http://schemas.openxmlformats.org/officeDocument/2006/relationships/hyperlink" Target="https://www.uptodate.com/contents/6680#H20171700" TargetMode="External"/><Relationship Id="rId33" Type="http://schemas.openxmlformats.org/officeDocument/2006/relationships/hyperlink" Target="https://www.uptodate.com/contents/6680#H3387354762" TargetMode="External"/><Relationship Id="rId32" Type="http://schemas.openxmlformats.org/officeDocument/2006/relationships/hyperlink" Target="https://www.uptodate.com/contents/6680#H20171346" TargetMode="External"/><Relationship Id="rId35" Type="http://schemas.openxmlformats.org/officeDocument/2006/relationships/hyperlink" Target="https://www.uptodate.com/contents/6680#H2957744259" TargetMode="External"/><Relationship Id="rId34" Type="http://schemas.openxmlformats.org/officeDocument/2006/relationships/hyperlink" Target="https://www.uptodate.com/contents/6680#H1215078875" TargetMode="External"/><Relationship Id="rId37" Type="http://schemas.openxmlformats.org/officeDocument/2006/relationships/hyperlink" Target="https://www.uptodate.com/contents/6680#H2263635730" TargetMode="External"/><Relationship Id="rId36" Type="http://schemas.openxmlformats.org/officeDocument/2006/relationships/hyperlink" Target="https://www.uptodate.com/contents/6680#H16" TargetMode="External"/><Relationship Id="rId39" Type="http://schemas.openxmlformats.org/officeDocument/2006/relationships/hyperlink" Target="https://www.uptodate.com/contents/6680#H17" TargetMode="External"/><Relationship Id="rId38" Type="http://schemas.openxmlformats.org/officeDocument/2006/relationships/hyperlink" Target="https://www.uptodate.com/contents/6680#H13347312" TargetMode="External"/><Relationship Id="rId20" Type="http://schemas.openxmlformats.org/officeDocument/2006/relationships/hyperlink" Target="https://ai.uptodate.com/" TargetMode="External"/><Relationship Id="rId22" Type="http://schemas.openxmlformats.org/officeDocument/2006/relationships/hyperlink" Target="https://ai.uptodate.com/" TargetMode="External"/><Relationship Id="rId21" Type="http://schemas.openxmlformats.org/officeDocument/2006/relationships/hyperlink" Target="https://ai.uptodate.com/" TargetMode="External"/><Relationship Id="rId24" Type="http://schemas.openxmlformats.org/officeDocument/2006/relationships/hyperlink" Target="https://ai.uptodate.com/" TargetMode="External"/><Relationship Id="rId23" Type="http://schemas.openxmlformats.org/officeDocument/2006/relationships/hyperlink" Target="https://ai.uptodate.com/" TargetMode="External"/><Relationship Id="rId129" Type="http://schemas.openxmlformats.org/officeDocument/2006/relationships/hyperlink" Target="https://www.uptodate.com/contents/2036#H16" TargetMode="External"/><Relationship Id="rId128" Type="http://schemas.openxmlformats.org/officeDocument/2006/relationships/hyperlink" Target="https://www.uptodate.com/contents/5#H59976497" TargetMode="External"/><Relationship Id="rId127" Type="http://schemas.openxmlformats.org/officeDocument/2006/relationships/hyperlink" Target="https://www.uptodate.com/contents/5#H59976497" TargetMode="External"/><Relationship Id="rId126" Type="http://schemas.openxmlformats.org/officeDocument/2006/relationships/hyperlink" Target="https://www.uptodate.com/contents/5#H59976497" TargetMode="External"/><Relationship Id="rId26" Type="http://schemas.openxmlformats.org/officeDocument/2006/relationships/hyperlink" Target="https://www.uptodate.com/contents/3573#H4198479993" TargetMode="External"/><Relationship Id="rId121" Type="http://schemas.openxmlformats.org/officeDocument/2006/relationships/hyperlink" Target="https://www.uptodate.com/contents/2036#H16" TargetMode="External"/><Relationship Id="rId25" Type="http://schemas.openxmlformats.org/officeDocument/2006/relationships/hyperlink" Target="https://ai.uptodate.com/" TargetMode="External"/><Relationship Id="rId120" Type="http://schemas.openxmlformats.org/officeDocument/2006/relationships/hyperlink" Target="https://www.uptodate.com/contents/5#H59976497" TargetMode="External"/><Relationship Id="rId28" Type="http://schemas.openxmlformats.org/officeDocument/2006/relationships/hyperlink" Target="https://www.uptodate.com/contents/3573#H3101440659" TargetMode="External"/><Relationship Id="rId27" Type="http://schemas.openxmlformats.org/officeDocument/2006/relationships/hyperlink" Target="https://www.uptodate.com/contents/3573#H962311711" TargetMode="External"/><Relationship Id="rId125" Type="http://schemas.openxmlformats.org/officeDocument/2006/relationships/hyperlink" Target="https://www.uptodate.com/contents/5#H59976497" TargetMode="External"/><Relationship Id="rId29" Type="http://schemas.openxmlformats.org/officeDocument/2006/relationships/hyperlink" Target="https://www.uptodate.com/contents/3573#H1214470052" TargetMode="External"/><Relationship Id="rId124" Type="http://schemas.openxmlformats.org/officeDocument/2006/relationships/hyperlink" Target="https://www.uptodate.com/contents/2036#H16" TargetMode="External"/><Relationship Id="rId123" Type="http://schemas.openxmlformats.org/officeDocument/2006/relationships/hyperlink" Target="https://www.uptodate.com/contents/2036#H16" TargetMode="External"/><Relationship Id="rId122" Type="http://schemas.openxmlformats.org/officeDocument/2006/relationships/hyperlink" Target="https://www.uptodate.com/contents/2036#H16" TargetMode="External"/><Relationship Id="rId95" Type="http://schemas.openxmlformats.org/officeDocument/2006/relationships/hyperlink" Target="https://www.uptodate.com/contents/958#H605777690" TargetMode="External"/><Relationship Id="rId94" Type="http://schemas.openxmlformats.org/officeDocument/2006/relationships/hyperlink" Target="https://www.uptodate.com/contents/958#H605777690" TargetMode="External"/><Relationship Id="rId97" Type="http://schemas.openxmlformats.org/officeDocument/2006/relationships/hyperlink" Target="https://www.uptodate.com/contents/958#H605777690" TargetMode="External"/><Relationship Id="rId96" Type="http://schemas.openxmlformats.org/officeDocument/2006/relationships/hyperlink" Target="https://www.uptodate.com/contents/958#H605777690" TargetMode="External"/><Relationship Id="rId11" Type="http://schemas.openxmlformats.org/officeDocument/2006/relationships/hyperlink" Target="https://www.uptodate.com/contents/3573#H4198479993" TargetMode="External"/><Relationship Id="rId99" Type="http://schemas.openxmlformats.org/officeDocument/2006/relationships/hyperlink" Target="https://www.uptodate.com/contents/958#H8776496" TargetMode="External"/><Relationship Id="rId10" Type="http://schemas.openxmlformats.org/officeDocument/2006/relationships/hyperlink" Target="https://www.uptodate.com/contents/3573#H4198479993" TargetMode="External"/><Relationship Id="rId98" Type="http://schemas.openxmlformats.org/officeDocument/2006/relationships/hyperlink" Target="https://www.uptodate.com/contents/958#H605777690" TargetMode="External"/><Relationship Id="rId13" Type="http://schemas.openxmlformats.org/officeDocument/2006/relationships/hyperlink" Target="https://www.uptodate.com/contents/3573#H3101440659" TargetMode="External"/><Relationship Id="rId12" Type="http://schemas.openxmlformats.org/officeDocument/2006/relationships/hyperlink" Target="https://www.uptodate.com/contents/3573#H4198479993" TargetMode="External"/><Relationship Id="rId91" Type="http://schemas.openxmlformats.org/officeDocument/2006/relationships/hyperlink" Target="https://www.uptodate.com/contents/958#H8776496" TargetMode="External"/><Relationship Id="rId90" Type="http://schemas.openxmlformats.org/officeDocument/2006/relationships/hyperlink" Target="https://www.uptodate.com/contents/958#H605777690" TargetMode="External"/><Relationship Id="rId93" Type="http://schemas.openxmlformats.org/officeDocument/2006/relationships/hyperlink" Target="https://www.uptodate.com/contents/958#H730887645" TargetMode="External"/><Relationship Id="rId92" Type="http://schemas.openxmlformats.org/officeDocument/2006/relationships/hyperlink" Target="https://www.uptodate.com/contents/958#H3011471067" TargetMode="External"/><Relationship Id="rId118" Type="http://schemas.openxmlformats.org/officeDocument/2006/relationships/hyperlink" Target="https://www.uptodate.com/contents/2036#H16" TargetMode="External"/><Relationship Id="rId117" Type="http://schemas.openxmlformats.org/officeDocument/2006/relationships/hyperlink" Target="https://www.uptodate.com/contents/958#H730887645" TargetMode="External"/><Relationship Id="rId116" Type="http://schemas.openxmlformats.org/officeDocument/2006/relationships/hyperlink" Target="https://www.uptodate.com/contents/958#H3011471067" TargetMode="External"/><Relationship Id="rId115" Type="http://schemas.openxmlformats.org/officeDocument/2006/relationships/hyperlink" Target="https://www.uptodate.com/contents/958#H8776496" TargetMode="External"/><Relationship Id="rId119" Type="http://schemas.openxmlformats.org/officeDocument/2006/relationships/hyperlink" Target="https://www.uptodate.com/contents/2036#H16" TargetMode="External"/><Relationship Id="rId15" Type="http://schemas.openxmlformats.org/officeDocument/2006/relationships/hyperlink" Target="https://www.uptodate.com/contents/3573#H4198479993" TargetMode="External"/><Relationship Id="rId110" Type="http://schemas.openxmlformats.org/officeDocument/2006/relationships/hyperlink" Target="https://ai.uptodate.com/" TargetMode="External"/><Relationship Id="rId14" Type="http://schemas.openxmlformats.org/officeDocument/2006/relationships/hyperlink" Target="https://www.uptodate.com/contents/3573#H1214470052" TargetMode="External"/><Relationship Id="rId17" Type="http://schemas.openxmlformats.org/officeDocument/2006/relationships/hyperlink" Target="https://www.uptodate.com/contents/3573#H962311711" TargetMode="External"/><Relationship Id="rId16" Type="http://schemas.openxmlformats.org/officeDocument/2006/relationships/hyperlink" Target="https://www.uptodate.com/contents/3573#H4198479993" TargetMode="External"/><Relationship Id="rId19" Type="http://schemas.openxmlformats.org/officeDocument/2006/relationships/hyperlink" Target="https://ai.uptodate.com/" TargetMode="External"/><Relationship Id="rId114" Type="http://schemas.openxmlformats.org/officeDocument/2006/relationships/hyperlink" Target="https://www.uptodate.com/contents/958#H605777690" TargetMode="External"/><Relationship Id="rId18" Type="http://schemas.openxmlformats.org/officeDocument/2006/relationships/hyperlink" Target="https://www.uptodate.com/contents/3573#H3101440659" TargetMode="External"/><Relationship Id="rId113" Type="http://schemas.openxmlformats.org/officeDocument/2006/relationships/hyperlink" Target="https://ai.uptodate.com/" TargetMode="External"/><Relationship Id="rId112" Type="http://schemas.openxmlformats.org/officeDocument/2006/relationships/hyperlink" Target="https://ai.uptodate.com/" TargetMode="External"/><Relationship Id="rId111" Type="http://schemas.openxmlformats.org/officeDocument/2006/relationships/hyperlink" Target="https://ai.uptodate.com/" TargetMode="External"/><Relationship Id="rId84" Type="http://schemas.openxmlformats.org/officeDocument/2006/relationships/hyperlink" Target="https://www.uptodate.com/contents/958#H605777690" TargetMode="External"/><Relationship Id="rId83" Type="http://schemas.openxmlformats.org/officeDocument/2006/relationships/hyperlink" Target="https://www.uptodate.com/contents/958#H605777690" TargetMode="External"/><Relationship Id="rId86" Type="http://schemas.openxmlformats.org/officeDocument/2006/relationships/hyperlink" Target="https://www.uptodate.com/contents/958#H605777690" TargetMode="External"/><Relationship Id="rId85" Type="http://schemas.openxmlformats.org/officeDocument/2006/relationships/hyperlink" Target="https://www.uptodate.com/contents/958#H8776496" TargetMode="External"/><Relationship Id="rId88" Type="http://schemas.openxmlformats.org/officeDocument/2006/relationships/hyperlink" Target="https://www.uptodate.com/contents/958#H8776496" TargetMode="External"/><Relationship Id="rId87" Type="http://schemas.openxmlformats.org/officeDocument/2006/relationships/hyperlink" Target="https://www.uptodate.com/contents/958#H605777690" TargetMode="External"/><Relationship Id="rId89" Type="http://schemas.openxmlformats.org/officeDocument/2006/relationships/hyperlink" Target="https://www.uptodate.com/contents/958#H605777690" TargetMode="External"/><Relationship Id="rId80" Type="http://schemas.openxmlformats.org/officeDocument/2006/relationships/hyperlink" Target="https://www.uptodate.com/contents/6680#H17" TargetMode="External"/><Relationship Id="rId82" Type="http://schemas.openxmlformats.org/officeDocument/2006/relationships/hyperlink" Target="https://www.uptodate.com/contents/6835#H469560504" TargetMode="External"/><Relationship Id="rId81" Type="http://schemas.openxmlformats.org/officeDocument/2006/relationships/hyperlink" Target="https://www.uptodate.com/contents/990#H18787434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ptodate.com/contents/3573#H4198479993" TargetMode="External"/><Relationship Id="rId143" Type="http://schemas.openxmlformats.org/officeDocument/2006/relationships/hyperlink" Target="https://ai.uptodate.com/" TargetMode="External"/><Relationship Id="rId142" Type="http://schemas.openxmlformats.org/officeDocument/2006/relationships/hyperlink" Target="https://ai.uptodate.com/" TargetMode="External"/><Relationship Id="rId141" Type="http://schemas.openxmlformats.org/officeDocument/2006/relationships/hyperlink" Target="https://ai.uptodate.com/" TargetMode="External"/><Relationship Id="rId140" Type="http://schemas.openxmlformats.org/officeDocument/2006/relationships/hyperlink" Target="https://www.uptodate.com/contents/5#H59976497" TargetMode="External"/><Relationship Id="rId5" Type="http://schemas.openxmlformats.org/officeDocument/2006/relationships/styles" Target="styles.xml"/><Relationship Id="rId147" Type="http://schemas.openxmlformats.org/officeDocument/2006/relationships/hyperlink" Target="https://www.uptodate.com/contents/5#H59976497" TargetMode="External"/><Relationship Id="rId6" Type="http://schemas.openxmlformats.org/officeDocument/2006/relationships/hyperlink" Target="https://www.uptodate.com/contents/3573#H4198479993" TargetMode="External"/><Relationship Id="rId146" Type="http://schemas.openxmlformats.org/officeDocument/2006/relationships/hyperlink" Target="https://www.uptodate.com/contents/2036#H16" TargetMode="External"/><Relationship Id="rId7" Type="http://schemas.openxmlformats.org/officeDocument/2006/relationships/hyperlink" Target="https://www.uptodate.com/contents/3573#H962311711" TargetMode="External"/><Relationship Id="rId145" Type="http://schemas.openxmlformats.org/officeDocument/2006/relationships/hyperlink" Target="https://ai.uptodate.com/" TargetMode="External"/><Relationship Id="rId8" Type="http://schemas.openxmlformats.org/officeDocument/2006/relationships/hyperlink" Target="https://www.uptodate.com/contents/3573#H962311711" TargetMode="External"/><Relationship Id="rId144" Type="http://schemas.openxmlformats.org/officeDocument/2006/relationships/hyperlink" Target="https://ai.uptodate.com/" TargetMode="External"/><Relationship Id="rId73" Type="http://schemas.openxmlformats.org/officeDocument/2006/relationships/hyperlink" Target="https://www.uptodate.com/contents/6680#H20171346" TargetMode="External"/><Relationship Id="rId72" Type="http://schemas.openxmlformats.org/officeDocument/2006/relationships/hyperlink" Target="https://www.uptodate.com/contents/6680#H20171700" TargetMode="External"/><Relationship Id="rId75" Type="http://schemas.openxmlformats.org/officeDocument/2006/relationships/hyperlink" Target="https://www.uptodate.com/contents/6680#H1215078875" TargetMode="External"/><Relationship Id="rId74" Type="http://schemas.openxmlformats.org/officeDocument/2006/relationships/hyperlink" Target="https://www.uptodate.com/contents/6680#H3387354762" TargetMode="External"/><Relationship Id="rId77" Type="http://schemas.openxmlformats.org/officeDocument/2006/relationships/hyperlink" Target="https://www.uptodate.com/contents/6680#H16" TargetMode="External"/><Relationship Id="rId76" Type="http://schemas.openxmlformats.org/officeDocument/2006/relationships/hyperlink" Target="https://www.uptodate.com/contents/6680#H2957744259" TargetMode="External"/><Relationship Id="rId79" Type="http://schemas.openxmlformats.org/officeDocument/2006/relationships/hyperlink" Target="https://www.uptodate.com/contents/6680#H13347312" TargetMode="External"/><Relationship Id="rId78" Type="http://schemas.openxmlformats.org/officeDocument/2006/relationships/hyperlink" Target="https://www.uptodate.com/contents/6680#H2263635730" TargetMode="External"/><Relationship Id="rId71" Type="http://schemas.openxmlformats.org/officeDocument/2006/relationships/hyperlink" Target="https://ai.uptodate.com/" TargetMode="External"/><Relationship Id="rId70" Type="http://schemas.openxmlformats.org/officeDocument/2006/relationships/hyperlink" Target="https://ai.uptodate.com/" TargetMode="External"/><Relationship Id="rId139" Type="http://schemas.openxmlformats.org/officeDocument/2006/relationships/hyperlink" Target="https://www.uptodate.com/contents/2036#H16" TargetMode="External"/><Relationship Id="rId138" Type="http://schemas.openxmlformats.org/officeDocument/2006/relationships/hyperlink" Target="https://www.uptodate.com/contents/5#H59976497" TargetMode="External"/><Relationship Id="rId137" Type="http://schemas.openxmlformats.org/officeDocument/2006/relationships/hyperlink" Target="https://www.uptodate.com/contents/2036#H16" TargetMode="External"/><Relationship Id="rId132" Type="http://schemas.openxmlformats.org/officeDocument/2006/relationships/hyperlink" Target="https://www.uptodate.com/contents/5#H59976497" TargetMode="External"/><Relationship Id="rId131" Type="http://schemas.openxmlformats.org/officeDocument/2006/relationships/hyperlink" Target="https://www.uptodate.com/contents/5#H59976497" TargetMode="External"/><Relationship Id="rId130" Type="http://schemas.openxmlformats.org/officeDocument/2006/relationships/hyperlink" Target="https://www.uptodate.com/contents/2036#H16" TargetMode="External"/><Relationship Id="rId136" Type="http://schemas.openxmlformats.org/officeDocument/2006/relationships/hyperlink" Target="https://www.uptodate.com/contents/5#H59976497" TargetMode="External"/><Relationship Id="rId135" Type="http://schemas.openxmlformats.org/officeDocument/2006/relationships/hyperlink" Target="https://www.uptodate.com/contents/5#H59976497" TargetMode="External"/><Relationship Id="rId134" Type="http://schemas.openxmlformats.org/officeDocument/2006/relationships/hyperlink" Target="https://www.uptodate.com/contents/5#H59976497" TargetMode="External"/><Relationship Id="rId133" Type="http://schemas.openxmlformats.org/officeDocument/2006/relationships/hyperlink" Target="https://www.uptodate.com/contents/5#H59976497" TargetMode="External"/><Relationship Id="rId62" Type="http://schemas.openxmlformats.org/officeDocument/2006/relationships/hyperlink" Target="https://www.uptodate.com/contents/6680#H2263635730" TargetMode="External"/><Relationship Id="rId61" Type="http://schemas.openxmlformats.org/officeDocument/2006/relationships/hyperlink" Target="https://www.uptodate.com/contents/6680#H16" TargetMode="External"/><Relationship Id="rId64" Type="http://schemas.openxmlformats.org/officeDocument/2006/relationships/hyperlink" Target="https://www.uptodate.com/contents/6680#H17" TargetMode="External"/><Relationship Id="rId63" Type="http://schemas.openxmlformats.org/officeDocument/2006/relationships/hyperlink" Target="https://www.uptodate.com/contents/6680#H13347312" TargetMode="External"/><Relationship Id="rId66" Type="http://schemas.openxmlformats.org/officeDocument/2006/relationships/hyperlink" Target="https://www.uptodate.com/contents/6835#H469560504" TargetMode="External"/><Relationship Id="rId65" Type="http://schemas.openxmlformats.org/officeDocument/2006/relationships/hyperlink" Target="https://www.uptodate.com/contents/990#H1878743431" TargetMode="External"/><Relationship Id="rId68" Type="http://schemas.openxmlformats.org/officeDocument/2006/relationships/hyperlink" Target="https://ai.uptodate.com/" TargetMode="External"/><Relationship Id="rId67" Type="http://schemas.openxmlformats.org/officeDocument/2006/relationships/hyperlink" Target="https://ai.uptodate.com/" TargetMode="External"/><Relationship Id="rId60" Type="http://schemas.openxmlformats.org/officeDocument/2006/relationships/hyperlink" Target="https://www.uptodate.com/contents/6680#H2957744259" TargetMode="External"/><Relationship Id="rId69" Type="http://schemas.openxmlformats.org/officeDocument/2006/relationships/hyperlink" Target="https://ai.uptodate.com/" TargetMode="External"/><Relationship Id="rId51" Type="http://schemas.openxmlformats.org/officeDocument/2006/relationships/hyperlink" Target="https://www.uptodate.com/contents/6680#H2957744259" TargetMode="External"/><Relationship Id="rId50" Type="http://schemas.openxmlformats.org/officeDocument/2006/relationships/hyperlink" Target="https://www.uptodate.com/contents/6680#H1215078875" TargetMode="External"/><Relationship Id="rId53" Type="http://schemas.openxmlformats.org/officeDocument/2006/relationships/hyperlink" Target="https://www.uptodate.com/contents/6680#H2263635730" TargetMode="External"/><Relationship Id="rId52" Type="http://schemas.openxmlformats.org/officeDocument/2006/relationships/hyperlink" Target="https://www.uptodate.com/contents/6680#H16" TargetMode="External"/><Relationship Id="rId55" Type="http://schemas.openxmlformats.org/officeDocument/2006/relationships/hyperlink" Target="https://www.uptodate.com/contents/6680#H17" TargetMode="External"/><Relationship Id="rId54" Type="http://schemas.openxmlformats.org/officeDocument/2006/relationships/hyperlink" Target="https://www.uptodate.com/contents/6680#H13347312" TargetMode="External"/><Relationship Id="rId57" Type="http://schemas.openxmlformats.org/officeDocument/2006/relationships/hyperlink" Target="https://www.uptodate.com/contents/6680#H20171346" TargetMode="External"/><Relationship Id="rId56" Type="http://schemas.openxmlformats.org/officeDocument/2006/relationships/hyperlink" Target="https://www.uptodate.com/contents/6680#H20171700" TargetMode="External"/><Relationship Id="rId59" Type="http://schemas.openxmlformats.org/officeDocument/2006/relationships/hyperlink" Target="https://www.uptodate.com/contents/6680#H1215078875" TargetMode="External"/><Relationship Id="rId58" Type="http://schemas.openxmlformats.org/officeDocument/2006/relationships/hyperlink" Target="https://www.uptodate.com/contents/6680#H33873547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