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uo3ofeyzb5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in an adult with a history of biliary colic. I am assuming the patient is not pregnant or breastfeeding and does not have other comorbidities or contraindications.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Use of</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in patients with a history of biliary colic requires caution. GLP-1-based therapies, including</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have been associated with an increased risk of gallbladder and biliary diseases, such as cholelithiasis and cholecystitis</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risk appears to be higher with use for weight loss, higher doses, and longer duration of treatment</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Although the documents do not specifically contraindicate</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in patients with a history of biliary colic, they recommend caution and close monitoring for symptoms of gallbladder disease</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If a patient has a history of pancreatitis, GLP-1-based therapies should generally be avoided unless the underlying cause has been reversed (eg, after cholecystectomy for gallstone pancreatitis)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[3]</w:t>
        </w:r>
      </w:hyperlink>
      <w:hyperlink r:id="rId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For patients with a history of biliary colic but no history of pancreatitis,</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may be considered, but the patient should be counseled about the potential risk of recurrent biliary events and monitored for symptoms such as abdominal pain, nausea, vomiting, or jaundice</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hd w:fill="ffffff" w:val="clear"/>
        <w:spacing w:line="390" w:lineRule="auto"/>
        <w:rPr>
          <w:color w:val="232323"/>
          <w:sz w:val="24"/>
          <w:szCs w:val="24"/>
        </w:rPr>
      </w:pPr>
      <w:r w:rsidDel="00000000" w:rsidR="00000000" w:rsidRPr="00000000">
        <w:rPr>
          <w:color w:val="232323"/>
          <w:sz w:val="24"/>
          <w:szCs w:val="24"/>
          <w:rtl w:val="0"/>
        </w:rPr>
        <w:t xml:space="preserve">Review the "Contraindications/Warnings" section of the</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drug monograph and UpToDate clinical topic recommendations for further details.</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c836cre9jyol"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A">
      <w:pPr>
        <w:numPr>
          <w:ilvl w:val="0"/>
          <w:numId w:val="11"/>
        </w:numPr>
        <w:shd w:fill="ffffff" w:val="clear"/>
        <w:spacing w:after="0" w:afterAutospacing="0" w:before="220" w:line="390" w:lineRule="auto"/>
        <w:ind w:left="720" w:hanging="360"/>
        <w:rPr>
          <w:sz w:val="24"/>
          <w:szCs w:val="24"/>
        </w:rPr>
      </w:pPr>
      <w:hyperlink r:id="rId31">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is associated with increased risk of gallbladder and biliary diseases, including cholelithiasis and cholecystitis </w:t>
      </w:r>
      <w:hyperlink r:id="rId3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Caution is advised when prescribing </w:t>
      </w:r>
      <w:hyperlink r:id="rId33">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to patients with a history of biliary colic; monitor for symptoms of gallbladder disease </w:t>
      </w:r>
      <w:hyperlink r:id="rId34">
        <w:r w:rsidDel="00000000" w:rsidR="00000000" w:rsidRPr="00000000">
          <w:rPr>
            <w:color w:val="0074b9"/>
            <w:sz w:val="24"/>
            <w:szCs w:val="24"/>
            <w:rtl w:val="0"/>
          </w:rPr>
          <w:t xml:space="preserve">[1]</w:t>
        </w:r>
      </w:hyperlink>
      <w:hyperlink r:id="rId3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GLP-1-based therapies should generally be avoided in patients with a history of pancreatitis unless the underlying cause has been addressed </w:t>
      </w:r>
      <w:hyperlink r:id="rId36">
        <w:r w:rsidDel="00000000" w:rsidR="00000000" w:rsidRPr="00000000">
          <w:rPr>
            <w:color w:val="0074b9"/>
            <w:sz w:val="24"/>
            <w:szCs w:val="24"/>
            <w:rtl w:val="0"/>
          </w:rPr>
          <w:t xml:space="preserve">[3]</w:t>
        </w:r>
      </w:hyperlink>
      <w:hyperlink r:id="rId3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Counsel patients about the signs and symptoms of biliary complications and advise prompt reporting if they occur </w:t>
      </w:r>
      <w:hyperlink r:id="rId38">
        <w:r w:rsidDel="00000000" w:rsidR="00000000" w:rsidRPr="00000000">
          <w:rPr>
            <w:color w:val="0074b9"/>
            <w:sz w:val="24"/>
            <w:szCs w:val="24"/>
            <w:rtl w:val="0"/>
          </w:rPr>
          <w:t xml:space="preserve">[1]</w:t>
        </w:r>
      </w:hyperlink>
      <w:hyperlink r:id="rId3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and further safety information, see UpToDate Lexidrug information on </w:t>
      </w:r>
      <w:hyperlink r:id="rId40">
        <w:r w:rsidDel="00000000" w:rsidR="00000000" w:rsidRPr="00000000">
          <w:rPr>
            <w:color w:val="0074b9"/>
            <w:sz w:val="24"/>
            <w:szCs w:val="24"/>
            <w:rtl w:val="0"/>
          </w:rPr>
          <w:t xml:space="preserve">tirzepatide</w:t>
        </w:r>
      </w:hyperlink>
      <w:r w:rsidDel="00000000" w:rsidR="00000000" w:rsidRPr="00000000">
        <w:rPr>
          <w:color w:val="232323"/>
          <w:sz w:val="24"/>
          <w:szCs w:val="24"/>
          <w:rtl w:val="0"/>
        </w:rPr>
        <w:t xml:space="preserve"> and UpToDate clinical topic recommendations </w:t>
      </w:r>
      <w:hyperlink r:id="rId41">
        <w:r w:rsidDel="00000000" w:rsidR="00000000" w:rsidRPr="00000000">
          <w:rPr>
            <w:color w:val="0074b9"/>
            <w:sz w:val="24"/>
            <w:szCs w:val="24"/>
            <w:rtl w:val="0"/>
          </w:rPr>
          <w:t xml:space="preserve">[1]</w:t>
        </w:r>
      </w:hyperlink>
      <w:hyperlink r:id="rId4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wwywcp83rc83"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13"/>
        </w:numPr>
        <w:shd w:fill="ffffff" w:val="clear"/>
        <w:spacing w:after="0" w:afterAutospacing="0" w:before="220" w:line="390" w:lineRule="auto"/>
        <w:ind w:left="720" w:hanging="360"/>
      </w:pPr>
      <w:hyperlink r:id="rId43">
        <w:r w:rsidDel="00000000" w:rsidR="00000000" w:rsidRPr="00000000">
          <w:rPr>
            <w:color w:val="0074b9"/>
            <w:sz w:val="24"/>
            <w:szCs w:val="24"/>
            <w:rtl w:val="0"/>
          </w:rPr>
          <w:t xml:space="preserve">What if the patient has a history of pancreatitis?</w:t>
        </w:r>
      </w:hyperlink>
      <w:r w:rsidDel="00000000" w:rsidR="00000000" w:rsidRPr="00000000">
        <w:rPr>
          <w:rtl w:val="0"/>
        </w:rPr>
      </w:r>
    </w:p>
    <w:p w:rsidR="00000000" w:rsidDel="00000000" w:rsidP="00000000" w:rsidRDefault="00000000" w:rsidRPr="00000000" w14:paraId="00000012">
      <w:pPr>
        <w:numPr>
          <w:ilvl w:val="0"/>
          <w:numId w:val="13"/>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3">
      <w:pPr>
        <w:numPr>
          <w:ilvl w:val="0"/>
          <w:numId w:val="13"/>
        </w:numPr>
        <w:shd w:fill="ffffff" w:val="clear"/>
        <w:spacing w:after="0" w:afterAutospacing="0" w:before="0" w:beforeAutospacing="0" w:line="390" w:lineRule="auto"/>
        <w:ind w:left="720" w:hanging="360"/>
      </w:pPr>
      <w:hyperlink r:id="rId45">
        <w:r w:rsidDel="00000000" w:rsidR="00000000" w:rsidRPr="00000000">
          <w:rPr>
            <w:color w:val="0074b9"/>
            <w:sz w:val="24"/>
            <w:szCs w:val="24"/>
            <w:rtl w:val="0"/>
          </w:rPr>
          <w:t xml:space="preserve">What if the patient has had a cholecystectomy?</w:t>
        </w:r>
      </w:hyperlink>
      <w:r w:rsidDel="00000000" w:rsidR="00000000" w:rsidRPr="00000000">
        <w:rPr>
          <w:rtl w:val="0"/>
        </w:rPr>
      </w:r>
    </w:p>
    <w:p w:rsidR="00000000" w:rsidDel="00000000" w:rsidP="00000000" w:rsidRDefault="00000000" w:rsidRPr="00000000" w14:paraId="00000014">
      <w:pPr>
        <w:numPr>
          <w:ilvl w:val="0"/>
          <w:numId w:val="13"/>
        </w:numPr>
        <w:shd w:fill="ffffff" w:val="clear"/>
        <w:spacing w:after="0" w:afterAutospacing="0" w:before="0" w:beforeAutospacing="0" w:line="390" w:lineRule="auto"/>
        <w:ind w:left="720" w:hanging="360"/>
      </w:pPr>
      <w:hyperlink r:id="rId46">
        <w:r w:rsidDel="00000000" w:rsidR="00000000" w:rsidRPr="00000000">
          <w:rPr>
            <w:color w:val="0074b9"/>
            <w:sz w:val="24"/>
            <w:szCs w:val="24"/>
            <w:rtl w:val="0"/>
          </w:rPr>
          <w:t xml:space="preserve">What if the patient develops symptoms of gallbladder disease while on tirzepatide?</w:t>
        </w:r>
      </w:hyperlink>
      <w:r w:rsidDel="00000000" w:rsidR="00000000" w:rsidRPr="00000000">
        <w:rPr>
          <w:rtl w:val="0"/>
        </w:rPr>
      </w:r>
    </w:p>
    <w:p w:rsidR="00000000" w:rsidDel="00000000" w:rsidP="00000000" w:rsidRDefault="00000000" w:rsidRPr="00000000" w14:paraId="00000015">
      <w:pPr>
        <w:numPr>
          <w:ilvl w:val="0"/>
          <w:numId w:val="13"/>
        </w:numPr>
        <w:shd w:fill="ffffff" w:val="clear"/>
        <w:spacing w:before="0" w:beforeAutospacing="0" w:line="390" w:lineRule="auto"/>
        <w:ind w:left="720" w:hanging="360"/>
      </w:pPr>
      <w:hyperlink r:id="rId47">
        <w:r w:rsidDel="00000000" w:rsidR="00000000" w:rsidRPr="00000000">
          <w:rPr>
            <w:color w:val="0074b9"/>
            <w:sz w:val="24"/>
            <w:szCs w:val="24"/>
            <w:rtl w:val="0"/>
          </w:rPr>
          <w:t xml:space="preserve">What are alternative weight loss medications for patients with biliary disease?</w:t>
        </w:r>
      </w:hyperlink>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monitoring and management.</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ogt6geukxymm"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8">
      <w:pPr>
        <w:numPr>
          <w:ilvl w:val="0"/>
          <w:numId w:val="7"/>
        </w:numPr>
        <w:shd w:fill="ffffff" w:val="clear"/>
        <w:spacing w:after="0" w:afterAutospacing="0" w:before="240" w:lineRule="auto"/>
        <w:ind w:left="720" w:hanging="360"/>
      </w:pPr>
      <w:hyperlink r:id="rId48">
        <w:r w:rsidDel="00000000" w:rsidR="00000000" w:rsidRPr="00000000">
          <w:rPr>
            <w:color w:val="0074b9"/>
            <w:sz w:val="24"/>
            <w:szCs w:val="24"/>
            <w:rtl w:val="0"/>
          </w:rPr>
          <w:t xml:space="preserve">Glucagon-like peptide 1-based therapies for the treatment of type 2 diabetes mellitus &gt; ADVERSE EFFECTS &gt; Gallbladder and biliary diseases</w:t>
        </w:r>
      </w:hyperlink>
      <w:r w:rsidDel="00000000" w:rsidR="00000000" w:rsidRPr="00000000">
        <w:rPr>
          <w:rtl w:val="0"/>
        </w:rPr>
      </w:r>
    </w:p>
    <w:p w:rsidR="00000000" w:rsidDel="00000000" w:rsidP="00000000" w:rsidRDefault="00000000" w:rsidRPr="00000000" w14:paraId="00000019">
      <w:pPr>
        <w:numPr>
          <w:ilvl w:val="0"/>
          <w:numId w:val="7"/>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Obesity in adults: Drug therapy &gt; PREFERRED MEDICATIONS &gt; Class adverse effects and contraindications &gt; Adverse effects</w:t>
        </w:r>
      </w:hyperlink>
      <w:r w:rsidDel="00000000" w:rsidR="00000000" w:rsidRPr="00000000">
        <w:rPr>
          <w:rtl w:val="0"/>
        </w:rPr>
      </w:r>
    </w:p>
    <w:p w:rsidR="00000000" w:rsidDel="00000000" w:rsidP="00000000" w:rsidRDefault="00000000" w:rsidRPr="00000000" w14:paraId="0000001A">
      <w:pPr>
        <w:numPr>
          <w:ilvl w:val="0"/>
          <w:numId w:val="7"/>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Obesity in adults: Drug therapy &gt; PREFERRED MEDICATIONS &gt; Class adverse effects and contraindications &gt; Contraindications and precautions</w:t>
        </w:r>
      </w:hyperlink>
      <w:r w:rsidDel="00000000" w:rsidR="00000000" w:rsidRPr="00000000">
        <w:rPr>
          <w:rtl w:val="0"/>
        </w:rPr>
      </w:r>
    </w:p>
    <w:p w:rsidR="00000000" w:rsidDel="00000000" w:rsidP="00000000" w:rsidRDefault="00000000" w:rsidRPr="00000000" w14:paraId="0000001B">
      <w:pPr>
        <w:numPr>
          <w:ilvl w:val="0"/>
          <w:numId w:val="7"/>
        </w:numPr>
        <w:shd w:fill="ffffff" w:val="clear"/>
        <w:spacing w:before="0" w:beforeAutospacing="0" w:lineRule="auto"/>
        <w:ind w:left="720" w:hanging="360"/>
      </w:pPr>
      <w:hyperlink r:id="rId51">
        <w:r w:rsidDel="00000000" w:rsidR="00000000" w:rsidRPr="00000000">
          <w:rPr>
            <w:color w:val="0074b9"/>
            <w:sz w:val="24"/>
            <w:szCs w:val="24"/>
            <w:rtl w:val="0"/>
          </w:rPr>
          <w:t xml:space="preserve">Glucagon-like peptide 1-based therapies for the treatment of type 2 diabetes mellitus &gt; SUGGESTED APPROACH TO THE USE OF GLP-1-BASED THERAPIES &gt; Patient selection &gt; Contraindications and precautions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fmg2ehm3h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138</w:t>
      </w:r>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an elevated uric acid level alone requires treatment in a patient, without specifying symptoms, comorbidities, or the presence of gout, stones, or other urate-related complications. I am assuming the patient is an adult and not pregnant, and that the question refers to asymptomatic hyperuricemia rather than symptomatic gout or uric acid nephrolithiasis.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color w:val="232323"/>
          <w:sz w:val="24"/>
          <w:szCs w:val="24"/>
          <w:rtl w:val="0"/>
        </w:rPr>
        <w:t xml:space="preserve">For most adults with asymptomatic hyperuricemia, </w:t>
      </w:r>
      <w:r w:rsidDel="00000000" w:rsidR="00000000" w:rsidRPr="00000000">
        <w:rPr>
          <w:b w:val="1"/>
          <w:bCs w:val="1"/>
          <w:color w:val="232323"/>
          <w:sz w:val="24"/>
          <w:szCs w:val="24"/>
          <w:rtl w:val="0"/>
        </w:rPr>
        <w:t xml:space="preserve">treatment of the uric acid level is not required</w:t>
      </w:r>
      <w:r w:rsidDel="00000000" w:rsidR="00000000" w:rsidRPr="00000000">
        <w:rPr>
          <w:color w:val="232323"/>
          <w:sz w:val="24"/>
          <w:szCs w:val="24"/>
          <w:rtl w:val="0"/>
        </w:rPr>
        <w:t xml:space="preserve"> unless there are specific clinical indications such as recurrent gout flares, tophaceous deposits, uric acid nephrolithiasis, or other urate-related complications. UpToDate guidance emphasizes that hyperuricemia itself is not a disease, and pharmacologic urate-lowering therapy is generally not recommended for isolated laboratory abnormalities without clinical manifestations</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1">
      <w:pPr>
        <w:pStyle w:val="Heading3"/>
        <w:keepNext w:val="0"/>
        <w:keepLines w:val="0"/>
        <w:shd w:fill="ffffff" w:val="clear"/>
        <w:spacing w:after="40" w:before="460" w:line="346.66666666666663" w:lineRule="auto"/>
        <w:rPr>
          <w:b w:val="1"/>
          <w:bCs w:val="1"/>
          <w:color w:val="232323"/>
          <w:sz w:val="27"/>
          <w:szCs w:val="27"/>
        </w:rPr>
      </w:pPr>
      <w:bookmarkStart w:colFirst="0" w:colLast="0" w:name="_fu32cbef3ybc" w:id="5"/>
      <w:bookmarkEnd w:id="5"/>
      <w:r w:rsidDel="00000000" w:rsidR="00000000" w:rsidRPr="00000000">
        <w:rPr>
          <w:b w:val="1"/>
          <w:bCs w:val="1"/>
          <w:color w:val="232323"/>
          <w:sz w:val="27"/>
          <w:szCs w:val="27"/>
          <w:rtl w:val="0"/>
        </w:rPr>
        <w:t xml:space="preserve">Indications for Treating Uric Acid Level</w:t>
      </w:r>
    </w:p>
    <w:p w:rsidR="00000000" w:rsidDel="00000000" w:rsidP="00000000" w:rsidRDefault="00000000" w:rsidRPr="00000000" w14:paraId="00000022">
      <w:pPr>
        <w:numPr>
          <w:ilvl w:val="0"/>
          <w:numId w:val="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Do not treat isolated asymptomatic hyperuricemia</w:t>
      </w:r>
      <w:r w:rsidDel="00000000" w:rsidR="00000000" w:rsidRPr="00000000">
        <w:rPr>
          <w:color w:val="232323"/>
          <w:sz w:val="24"/>
          <w:szCs w:val="24"/>
          <w:rtl w:val="0"/>
        </w:rPr>
        <w:t xml:space="preserve"> unless there is evidence of urate crystal deposition (gout, tophi), uric acid nephrolithiasis, or other urate-related medical conditions likely to result in recurrent urolithiasis or obstructive uropathy </w:t>
      </w:r>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3">
      <w:pPr>
        <w:numPr>
          <w:ilvl w:val="0"/>
          <w:numId w:val="6"/>
        </w:numPr>
        <w:shd w:fill="ffffff" w:val="clear"/>
        <w:spacing w:after="0" w:afterAutospacing="0" w:before="0" w:beforeAutospacing="0" w:line="390" w:lineRule="auto"/>
        <w:ind w:left="720" w:hanging="360"/>
        <w:rPr>
          <w:color w:val="232323"/>
          <w:sz w:val="24"/>
          <w:szCs w:val="24"/>
        </w:rPr>
      </w:pPr>
      <w:r w:rsidDel="00000000" w:rsidR="00000000" w:rsidRPr="00000000">
        <w:rPr>
          <w:b w:val="1"/>
          <w:bCs w:val="1"/>
          <w:color w:val="232323"/>
          <w:sz w:val="24"/>
          <w:szCs w:val="24"/>
          <w:rtl w:val="0"/>
        </w:rPr>
        <w:t xml:space="preserve">Treat with urate-lowering therapy</w:t>
      </w:r>
      <w:r w:rsidDel="00000000" w:rsidR="00000000" w:rsidRPr="00000000">
        <w:rPr>
          <w:color w:val="232323"/>
          <w:sz w:val="24"/>
          <w:szCs w:val="24"/>
          <w:rtl w:val="0"/>
        </w:rPr>
        <w:t xml:space="preserve"> if the patient has:</w:t>
      </w:r>
    </w:p>
    <w:p w:rsidR="00000000" w:rsidDel="00000000" w:rsidP="00000000" w:rsidRDefault="00000000" w:rsidRPr="00000000" w14:paraId="00000024">
      <w:pPr>
        <w:numPr>
          <w:ilvl w:val="1"/>
          <w:numId w:val="6"/>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Frequent or disabling gout flares</w:t>
      </w:r>
    </w:p>
    <w:p w:rsidR="00000000" w:rsidDel="00000000" w:rsidP="00000000" w:rsidRDefault="00000000" w:rsidRPr="00000000" w14:paraId="00000025">
      <w:pPr>
        <w:numPr>
          <w:ilvl w:val="1"/>
          <w:numId w:val="6"/>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Tophi or structural joint damage</w:t>
      </w:r>
    </w:p>
    <w:p w:rsidR="00000000" w:rsidDel="00000000" w:rsidP="00000000" w:rsidRDefault="00000000" w:rsidRPr="00000000" w14:paraId="00000026">
      <w:pPr>
        <w:numPr>
          <w:ilvl w:val="1"/>
          <w:numId w:val="6"/>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Recurrent uric acid nephrolithiasis despite adequate hydration and urinary alkalinization </w:t>
      </w:r>
      <w:hyperlink r:id="rId57">
        <w:r w:rsidDel="00000000" w:rsidR="00000000" w:rsidRPr="00000000">
          <w:rPr>
            <w:color w:val="0074b9"/>
            <w:sz w:val="24"/>
            <w:szCs w:val="24"/>
            <w:rtl w:val="0"/>
          </w:rPr>
          <w:t xml:space="preserve">[3]</w:t>
        </w:r>
      </w:hyperlink>
      <w:hyperlink r:id="rId58">
        <w:r w:rsidDel="00000000" w:rsidR="00000000" w:rsidRPr="00000000">
          <w:rPr>
            <w:color w:val="0074b9"/>
            <w:sz w:val="24"/>
            <w:szCs w:val="24"/>
            <w:rtl w:val="0"/>
          </w:rPr>
          <w:t xml:space="preserve">[4]</w:t>
        </w:r>
      </w:hyperlink>
      <w:hyperlink r:id="rId59">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27">
      <w:pPr>
        <w:numPr>
          <w:ilvl w:val="1"/>
          <w:numId w:val="6"/>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Marked sustained hyperuricemia due to certain underlying conditions (e.g., monogenic defects, myelo- or lymphoproliferative disorders) </w:t>
      </w:r>
      <w:hyperlink r:id="rId60">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28">
      <w:pPr>
        <w:numPr>
          <w:ilvl w:val="0"/>
          <w:numId w:val="6"/>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Lifestyle modification</w:t>
      </w:r>
      <w:r w:rsidDel="00000000" w:rsidR="00000000" w:rsidRPr="00000000">
        <w:rPr>
          <w:color w:val="232323"/>
          <w:sz w:val="24"/>
          <w:szCs w:val="24"/>
          <w:rtl w:val="0"/>
        </w:rPr>
        <w:t xml:space="preserve"> (weight loss, dietary changes, alcohol reduction) is recommended for all patients with persistent asymptomatic hyperuricemia </w:t>
      </w:r>
      <w:hyperlink r:id="rId6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s1fiv36xxhbz" w:id="6"/>
      <w:bookmarkEnd w:id="6"/>
      <w:r w:rsidDel="00000000" w:rsidR="00000000" w:rsidRPr="00000000">
        <w:rPr>
          <w:b w:val="1"/>
          <w:bCs w:val="1"/>
          <w:color w:val="232323"/>
          <w:sz w:val="27"/>
          <w:szCs w:val="27"/>
          <w:rtl w:val="0"/>
        </w:rPr>
        <w:t xml:space="preserve">Rationale</w:t>
      </w:r>
    </w:p>
    <w:p w:rsidR="00000000" w:rsidDel="00000000" w:rsidP="00000000" w:rsidRDefault="00000000" w:rsidRPr="00000000" w14:paraId="0000002A">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risk of developing gout or uric acid stones increases with higher uric acid levels, but most individuals with asymptomatic hyperuricemia do not develop clinical disease and do not benefit from pharmacologic urate-lowering therapy </w:t>
      </w:r>
      <w:hyperlink r:id="rId6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Urate-lowering therapy carries risks, including rare but severe adverse reactions, and should be reserved for patients with clear clinical indications </w:t>
      </w:r>
      <w:hyperlink r:id="rId6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C">
      <w:pPr>
        <w:pStyle w:val="Heading3"/>
        <w:keepNext w:val="0"/>
        <w:keepLines w:val="0"/>
        <w:shd w:fill="ffffff" w:val="clear"/>
        <w:spacing w:after="40" w:before="460" w:line="346.66666666666663" w:lineRule="auto"/>
        <w:rPr>
          <w:b w:val="1"/>
          <w:bCs w:val="1"/>
          <w:color w:val="232323"/>
          <w:sz w:val="27"/>
          <w:szCs w:val="27"/>
        </w:rPr>
      </w:pPr>
      <w:bookmarkStart w:colFirst="0" w:colLast="0" w:name="_mxnxqab2q57"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2D">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Asymptomatic hyperuricemia does not require treatment in the absence of clinical manifestations </w:t>
      </w:r>
      <w:hyperlink r:id="rId6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Treat only if there are symptoms or complications attributable to urate crystal deposition or uric acid stones </w:t>
      </w:r>
      <w:hyperlink r:id="rId65">
        <w:r w:rsidDel="00000000" w:rsidR="00000000" w:rsidRPr="00000000">
          <w:rPr>
            <w:color w:val="0074b9"/>
            <w:sz w:val="24"/>
            <w:szCs w:val="24"/>
            <w:rtl w:val="0"/>
          </w:rPr>
          <w:t xml:space="preserve">[3]</w:t>
        </w:r>
      </w:hyperlink>
      <w:hyperlink r:id="rId66">
        <w:r w:rsidDel="00000000" w:rsidR="00000000" w:rsidRPr="00000000">
          <w:rPr>
            <w:color w:val="0074b9"/>
            <w:sz w:val="24"/>
            <w:szCs w:val="24"/>
            <w:rtl w:val="0"/>
          </w:rPr>
          <w:t xml:space="preserve">[4]</w:t>
        </w:r>
      </w:hyperlink>
      <w:hyperlink r:id="rId6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Lifestyle modification is appropriate for all patients with persistent hyperuricemia </w:t>
      </w:r>
      <w:hyperlink r:id="rId6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Pharmacologic therapy should be individualized based on clinical context and risk factors </w:t>
      </w:r>
      <w:hyperlink r:id="rId6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v4j9o4458sj2"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2"/>
        </w:numPr>
        <w:shd w:fill="ffffff" w:val="clear"/>
        <w:spacing w:after="0" w:afterAutospacing="0" w:before="220" w:line="390" w:lineRule="auto"/>
        <w:ind w:left="720" w:hanging="360"/>
      </w:pPr>
      <w:hyperlink r:id="rId70">
        <w:r w:rsidDel="00000000" w:rsidR="00000000" w:rsidRPr="00000000">
          <w:rPr>
            <w:color w:val="0074b9"/>
            <w:sz w:val="24"/>
            <w:szCs w:val="24"/>
            <w:rtl w:val="0"/>
          </w:rPr>
          <w:t xml:space="preserve">What if the patient has a history of gout or gout flares?</w:t>
        </w:r>
      </w:hyperlink>
      <w:r w:rsidDel="00000000" w:rsidR="00000000" w:rsidRPr="00000000">
        <w:rPr>
          <w:rtl w:val="0"/>
        </w:rPr>
      </w:r>
    </w:p>
    <w:p w:rsidR="00000000" w:rsidDel="00000000" w:rsidP="00000000" w:rsidRDefault="00000000" w:rsidRPr="00000000" w14:paraId="00000034">
      <w:pPr>
        <w:numPr>
          <w:ilvl w:val="0"/>
          <w:numId w:val="2"/>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What if the patient has uric acid kidney stones?</w:t>
        </w:r>
      </w:hyperlink>
      <w:r w:rsidDel="00000000" w:rsidR="00000000" w:rsidRPr="00000000">
        <w:rPr>
          <w:rtl w:val="0"/>
        </w:rPr>
      </w:r>
    </w:p>
    <w:p w:rsidR="00000000" w:rsidDel="00000000" w:rsidP="00000000" w:rsidRDefault="00000000" w:rsidRPr="00000000" w14:paraId="00000035">
      <w:pPr>
        <w:numPr>
          <w:ilvl w:val="0"/>
          <w:numId w:val="2"/>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if the patient has very high uric acid levels (&gt;13 mg/dL)?</w:t>
        </w:r>
      </w:hyperlink>
      <w:r w:rsidDel="00000000" w:rsidR="00000000" w:rsidRPr="00000000">
        <w:rPr>
          <w:rtl w:val="0"/>
        </w:rPr>
      </w:r>
    </w:p>
    <w:p w:rsidR="00000000" w:rsidDel="00000000" w:rsidP="00000000" w:rsidRDefault="00000000" w:rsidRPr="00000000" w14:paraId="00000036">
      <w:pPr>
        <w:numPr>
          <w:ilvl w:val="0"/>
          <w:numId w:val="2"/>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What if the patient is a child or has a genetic disorder?</w:t>
        </w:r>
      </w:hyperlink>
      <w:r w:rsidDel="00000000" w:rsidR="00000000" w:rsidRPr="00000000">
        <w:rPr>
          <w:rtl w:val="0"/>
        </w:rPr>
      </w:r>
    </w:p>
    <w:p w:rsidR="00000000" w:rsidDel="00000000" w:rsidP="00000000" w:rsidRDefault="00000000" w:rsidRPr="00000000" w14:paraId="00000037">
      <w:pPr>
        <w:numPr>
          <w:ilvl w:val="0"/>
          <w:numId w:val="2"/>
        </w:numPr>
        <w:shd w:fill="ffffff" w:val="clear"/>
        <w:spacing w:before="0" w:beforeAutospacing="0" w:line="390" w:lineRule="auto"/>
        <w:ind w:left="720" w:hanging="360"/>
      </w:pPr>
      <w:hyperlink r:id="rId7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clinical scenario.</w:t>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u6ghcvcw95bu"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A">
      <w:pPr>
        <w:numPr>
          <w:ilvl w:val="0"/>
          <w:numId w:val="8"/>
        </w:numPr>
        <w:shd w:fill="ffffff" w:val="clear"/>
        <w:spacing w:after="0" w:afterAutospacing="0" w:before="240" w:lineRule="auto"/>
        <w:ind w:left="720" w:hanging="360"/>
      </w:pPr>
      <w:hyperlink r:id="rId75">
        <w:r w:rsidDel="00000000" w:rsidR="00000000" w:rsidRPr="00000000">
          <w:rPr>
            <w:color w:val="0074b9"/>
            <w:sz w:val="24"/>
            <w:szCs w:val="24"/>
            <w:rtl w:val="0"/>
          </w:rPr>
          <w:t xml:space="preserve">Asymptomatic hyperuricemia &gt; SUMMARY AND RECOMMENDATIONS</w:t>
        </w:r>
      </w:hyperlink>
      <w:r w:rsidDel="00000000" w:rsidR="00000000" w:rsidRPr="00000000">
        <w:rPr>
          <w:rtl w:val="0"/>
        </w:rPr>
      </w:r>
    </w:p>
    <w:p w:rsidR="00000000" w:rsidDel="00000000" w:rsidP="00000000" w:rsidRDefault="00000000" w:rsidRPr="00000000" w14:paraId="0000003B">
      <w:pPr>
        <w:numPr>
          <w:ilvl w:val="0"/>
          <w:numId w:val="8"/>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Asymptomatic hyperuricemia &gt; MANAGEMENT &gt; General measures</w:t>
        </w:r>
      </w:hyperlink>
      <w:r w:rsidDel="00000000" w:rsidR="00000000" w:rsidRPr="00000000">
        <w:rPr>
          <w:rtl w:val="0"/>
        </w:rPr>
      </w:r>
    </w:p>
    <w:p w:rsidR="00000000" w:rsidDel="00000000" w:rsidP="00000000" w:rsidRDefault="00000000" w:rsidRPr="00000000" w14:paraId="0000003C">
      <w:pPr>
        <w:numPr>
          <w:ilvl w:val="0"/>
          <w:numId w:val="8"/>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Gout: Pharmacologic urate-lowering therapy and treatment of tophi &gt; APPROACH TO DRUG THERAPY &gt; Indications</w:t>
        </w:r>
      </w:hyperlink>
      <w:r w:rsidDel="00000000" w:rsidR="00000000" w:rsidRPr="00000000">
        <w:rPr>
          <w:rtl w:val="0"/>
        </w:rPr>
      </w:r>
    </w:p>
    <w:p w:rsidR="00000000" w:rsidDel="00000000" w:rsidP="00000000" w:rsidRDefault="00000000" w:rsidRPr="00000000" w14:paraId="0000003D">
      <w:pPr>
        <w:numPr>
          <w:ilvl w:val="0"/>
          <w:numId w:val="8"/>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Asymptomatic hyperuricemia &gt; MANAGEMENT &gt; Recurrent uric acid urolithiasis</w:t>
        </w:r>
      </w:hyperlink>
      <w:r w:rsidDel="00000000" w:rsidR="00000000" w:rsidRPr="00000000">
        <w:rPr>
          <w:rtl w:val="0"/>
        </w:rPr>
      </w:r>
    </w:p>
    <w:p w:rsidR="00000000" w:rsidDel="00000000" w:rsidP="00000000" w:rsidRDefault="00000000" w:rsidRPr="00000000" w14:paraId="0000003E">
      <w:pPr>
        <w:numPr>
          <w:ilvl w:val="0"/>
          <w:numId w:val="8"/>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Kidney stones in adults: Uric acid nephrolithiasis &gt; SUMMARY AND RECOMMENDATIONS</w:t>
        </w:r>
      </w:hyperlink>
      <w:r w:rsidDel="00000000" w:rsidR="00000000" w:rsidRPr="00000000">
        <w:rPr>
          <w:rtl w:val="0"/>
        </w:rPr>
      </w:r>
    </w:p>
    <w:p w:rsidR="00000000" w:rsidDel="00000000" w:rsidP="00000000" w:rsidRDefault="00000000" w:rsidRPr="00000000" w14:paraId="0000003F">
      <w:pPr>
        <w:numPr>
          <w:ilvl w:val="0"/>
          <w:numId w:val="8"/>
        </w:numPr>
        <w:shd w:fill="ffffff" w:val="clear"/>
        <w:spacing w:before="0" w:beforeAutospacing="0" w:lineRule="auto"/>
        <w:ind w:left="720" w:hanging="360"/>
      </w:pPr>
      <w:hyperlink r:id="rId80">
        <w:r w:rsidDel="00000000" w:rsidR="00000000" w:rsidRPr="00000000">
          <w:rPr>
            <w:color w:val="0074b9"/>
            <w:sz w:val="24"/>
            <w:szCs w:val="24"/>
            <w:rtl w:val="0"/>
          </w:rPr>
          <w:t xml:space="preserve">Asymptomatic hyperuricemia &gt; MANAGEMENT &gt; Sustained marked hyperuricemia</w:t>
        </w:r>
      </w:hyperlink>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igln5tjir3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139</w:t>
      </w:r>
      <w:r w:rsidDel="00000000" w:rsidR="00000000" w:rsidRPr="00000000">
        <w:rPr>
          <w:rtl w:val="0"/>
        </w:rPr>
      </w:r>
    </w:p>
    <w:p w:rsidR="00000000" w:rsidDel="00000000" w:rsidP="00000000" w:rsidRDefault="00000000" w:rsidRPr="00000000" w14:paraId="00000042">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blood pressure monitoring requirements for adults treated with stimulant medications for ADHD.</w:t>
      </w:r>
    </w:p>
    <w:p w:rsidR="00000000" w:rsidDel="00000000" w:rsidP="00000000" w:rsidRDefault="00000000" w:rsidRPr="00000000" w14:paraId="00000043">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before="120" w:line="390" w:lineRule="auto"/>
        <w:rPr>
          <w:sz w:val="24"/>
          <w:szCs w:val="24"/>
        </w:rPr>
      </w:pPr>
      <w:r w:rsidDel="00000000" w:rsidR="00000000" w:rsidRPr="00000000">
        <w:rPr>
          <w:sz w:val="24"/>
          <w:szCs w:val="24"/>
          <w:rtl w:val="0"/>
        </w:rPr>
        <w:t xml:space="preserve">For adults receiving stimulant medications (such as amphetamine or</w:t>
      </w:r>
      <w:hyperlink r:id="rId81">
        <w:r w:rsidDel="00000000" w:rsidR="00000000" w:rsidRPr="00000000">
          <w:rPr>
            <w:sz w:val="24"/>
            <w:szCs w:val="24"/>
            <w:rtl w:val="0"/>
          </w:rPr>
          <w:t xml:space="preserve"> </w:t>
        </w:r>
      </w:hyperlink>
      <w:hyperlink r:id="rId82">
        <w:r w:rsidDel="00000000" w:rsidR="00000000" w:rsidRPr="00000000">
          <w:rPr>
            <w:color w:val="0074b9"/>
            <w:sz w:val="24"/>
            <w:szCs w:val="24"/>
            <w:rtl w:val="0"/>
          </w:rPr>
          <w:t xml:space="preserve">methylphenidate</w:t>
        </w:r>
      </w:hyperlink>
      <w:r w:rsidDel="00000000" w:rsidR="00000000" w:rsidRPr="00000000">
        <w:rPr>
          <w:sz w:val="24"/>
          <w:szCs w:val="24"/>
          <w:rtl w:val="0"/>
        </w:rPr>
        <w:t xml:space="preserve">) for ADHD, blood pressure and pulse should be measured prior to starting treatment, and cardiovascular history should be reviewed. An electrocardiogram (ECG) is recommended for individuals with cardiac history or symptoms. During treatment, blood pressure and pulse should be checked at each monthly follow-up visit until symptoms are stabilized, and any abnormalities should be addressed. For patients with baseline cardiac abnormalities, ECG monitoring and collaboration with a cardiologist are advised. Once stabilized, regular interval monitoring (eg, monthly or bimonthly) is recommended. If findings are outside normal limits, consultation with an internist or cardiologist is suggested to determine if stimulant therapy should be continued. These recommendations are based on UpToDate guidance for adults with ADHD treated with stimulants</w:t>
      </w:r>
      <w:hyperlink r:id="rId83">
        <w:r w:rsidDel="00000000" w:rsidR="00000000" w:rsidRPr="00000000">
          <w:rPr>
            <w:sz w:val="24"/>
            <w:szCs w:val="24"/>
            <w:rtl w:val="0"/>
          </w:rPr>
          <w:t xml:space="preserve"> </w:t>
        </w:r>
      </w:hyperlink>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[2]</w:t>
        </w:r>
      </w:hyperlink>
      <w:hyperlink r:id="rId86">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5">
      <w:pPr>
        <w:pStyle w:val="Heading3"/>
        <w:keepNext w:val="0"/>
        <w:keepLines w:val="0"/>
        <w:spacing w:after="40" w:before="580" w:line="346.66666666666663" w:lineRule="auto"/>
        <w:rPr>
          <w:b w:val="1"/>
          <w:bCs w:val="1"/>
          <w:color w:val="000000"/>
          <w:sz w:val="27"/>
          <w:szCs w:val="27"/>
        </w:rPr>
      </w:pPr>
      <w:bookmarkStart w:colFirst="0" w:colLast="0" w:name="_3n28bfjsonwk" w:id="11"/>
      <w:bookmarkEnd w:id="11"/>
      <w:r w:rsidDel="00000000" w:rsidR="00000000" w:rsidRPr="00000000">
        <w:rPr>
          <w:b w:val="1"/>
          <w:bCs w:val="1"/>
          <w:color w:val="000000"/>
          <w:sz w:val="27"/>
          <w:szCs w:val="27"/>
          <w:rtl w:val="0"/>
        </w:rPr>
        <w:t xml:space="preserve">Learn More</w:t>
      </w:r>
    </w:p>
    <w:p w:rsidR="00000000" w:rsidDel="00000000" w:rsidP="00000000" w:rsidRDefault="00000000" w:rsidRPr="00000000" w14:paraId="00000046">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47">
      <w:pPr>
        <w:numPr>
          <w:ilvl w:val="0"/>
          <w:numId w:val="5"/>
        </w:numPr>
        <w:spacing w:after="0" w:afterAutospacing="0" w:before="340" w:line="390" w:lineRule="auto"/>
        <w:ind w:left="720" w:hanging="360"/>
        <w:rPr>
          <w:sz w:val="24"/>
          <w:szCs w:val="24"/>
        </w:rPr>
      </w:pPr>
      <w:hyperlink r:id="rId87">
        <w:r w:rsidDel="00000000" w:rsidR="00000000" w:rsidRPr="00000000">
          <w:rPr>
            <w:color w:val="0074b9"/>
            <w:sz w:val="24"/>
            <w:szCs w:val="24"/>
            <w:rtl w:val="0"/>
          </w:rPr>
          <w:t xml:space="preserve">What are the cardiovascular risks associated with stimulant use in adults?</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390" w:lineRule="auto"/>
        <w:ind w:left="720" w:hanging="360"/>
        <w:rPr>
          <w:sz w:val="24"/>
          <w:szCs w:val="24"/>
        </w:rPr>
      </w:pPr>
      <w:hyperlink r:id="rId88">
        <w:r w:rsidDel="00000000" w:rsidR="00000000" w:rsidRPr="00000000">
          <w:rPr>
            <w:color w:val="0074b9"/>
            <w:sz w:val="24"/>
            <w:szCs w:val="24"/>
            <w:rtl w:val="0"/>
          </w:rPr>
          <w:t xml:space="preserve">How should blood pressure be monitored in patients with pre-existing hypertension starting stimulants?</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390" w:lineRule="auto"/>
        <w:ind w:left="720" w:hanging="360"/>
        <w:rPr>
          <w:sz w:val="24"/>
          <w:szCs w:val="24"/>
        </w:rPr>
      </w:pPr>
      <w:hyperlink r:id="rId89">
        <w:r w:rsidDel="00000000" w:rsidR="00000000" w:rsidRPr="00000000">
          <w:rPr>
            <w:color w:val="0074b9"/>
            <w:sz w:val="24"/>
            <w:szCs w:val="24"/>
            <w:rtl w:val="0"/>
          </w:rPr>
          <w:t xml:space="preserve">What are the contraindications for stimulant use in adults with cardiac history?</w:t>
        </w:r>
      </w:hyperlink>
      <w:r w:rsidDel="00000000" w:rsidR="00000000" w:rsidRPr="00000000">
        <w:rPr>
          <w:rtl w:val="0"/>
        </w:rPr>
      </w:r>
    </w:p>
    <w:p w:rsidR="00000000" w:rsidDel="00000000" w:rsidP="00000000" w:rsidRDefault="00000000" w:rsidRPr="00000000" w14:paraId="0000004A">
      <w:pPr>
        <w:numPr>
          <w:ilvl w:val="0"/>
          <w:numId w:val="5"/>
        </w:numPr>
        <w:spacing w:after="0" w:afterAutospacing="0" w:before="0" w:beforeAutospacing="0" w:line="390" w:lineRule="auto"/>
        <w:ind w:left="720" w:hanging="360"/>
        <w:rPr>
          <w:sz w:val="24"/>
          <w:szCs w:val="24"/>
        </w:rPr>
      </w:pPr>
      <w:hyperlink r:id="rId90">
        <w:r w:rsidDel="00000000" w:rsidR="00000000" w:rsidRPr="00000000">
          <w:rPr>
            <w:color w:val="0074b9"/>
            <w:sz w:val="24"/>
            <w:szCs w:val="24"/>
            <w:rtl w:val="0"/>
          </w:rPr>
          <w:t xml:space="preserve">How should adverse cardiovascular effects be managed during stimulant therapy?</w:t>
        </w:r>
      </w:hyperlink>
      <w:r w:rsidDel="00000000" w:rsidR="00000000" w:rsidRPr="00000000">
        <w:rPr>
          <w:rtl w:val="0"/>
        </w:rPr>
      </w:r>
    </w:p>
    <w:p w:rsidR="00000000" w:rsidDel="00000000" w:rsidP="00000000" w:rsidRDefault="00000000" w:rsidRPr="00000000" w14:paraId="0000004B">
      <w:pPr>
        <w:numPr>
          <w:ilvl w:val="0"/>
          <w:numId w:val="5"/>
        </w:numPr>
        <w:spacing w:before="0" w:beforeAutospacing="0" w:line="390" w:lineRule="auto"/>
        <w:ind w:left="720" w:hanging="360"/>
        <w:rPr>
          <w:sz w:val="24"/>
          <w:szCs w:val="24"/>
        </w:rPr>
      </w:pPr>
      <w:hyperlink r:id="rId91">
        <w:r w:rsidDel="00000000" w:rsidR="00000000" w:rsidRPr="00000000">
          <w:rPr>
            <w:color w:val="0074b9"/>
            <w:sz w:val="24"/>
            <w:szCs w:val="24"/>
            <w:rtl w:val="0"/>
          </w:rPr>
          <w:t xml:space="preserve">What is the recommended approach for monitoring ECG changes in patients on stimulants?</w:t>
        </w:r>
      </w:hyperlink>
      <w:r w:rsidDel="00000000" w:rsidR="00000000" w:rsidRPr="00000000">
        <w:rPr>
          <w:rtl w:val="0"/>
        </w:rPr>
      </w:r>
    </w:p>
    <w:p w:rsidR="00000000" w:rsidDel="00000000" w:rsidP="00000000" w:rsidRDefault="00000000" w:rsidRPr="00000000" w14:paraId="0000004C">
      <w:pPr>
        <w:spacing w:before="120" w:line="390" w:lineRule="auto"/>
        <w:rPr>
          <w:sz w:val="24"/>
          <w:szCs w:val="24"/>
        </w:rPr>
      </w:pPr>
      <w:r w:rsidDel="00000000" w:rsidR="00000000" w:rsidRPr="00000000">
        <w:rPr>
          <w:sz w:val="24"/>
          <w:szCs w:val="24"/>
          <w:rtl w:val="0"/>
        </w:rPr>
        <w:t xml:space="preserve">Let me know if you have other patient-specific factors to consider or need more details about monitoring protocols for special populations.</w:t>
      </w:r>
    </w:p>
    <w:p w:rsidR="00000000" w:rsidDel="00000000" w:rsidP="00000000" w:rsidRDefault="00000000" w:rsidRPr="00000000" w14:paraId="0000004D">
      <w:pPr>
        <w:pStyle w:val="Heading3"/>
        <w:keepNext w:val="0"/>
        <w:keepLines w:val="0"/>
        <w:spacing w:after="40" w:before="580" w:line="346.66666666666663" w:lineRule="auto"/>
        <w:rPr>
          <w:b w:val="1"/>
          <w:bCs w:val="1"/>
          <w:color w:val="000000"/>
          <w:sz w:val="27"/>
          <w:szCs w:val="27"/>
        </w:rPr>
      </w:pPr>
      <w:bookmarkStart w:colFirst="0" w:colLast="0" w:name="_5uzu2tm2cpw4" w:id="12"/>
      <w:bookmarkEnd w:id="12"/>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4E">
      <w:pPr>
        <w:numPr>
          <w:ilvl w:val="0"/>
          <w:numId w:val="9"/>
        </w:numPr>
        <w:spacing w:after="0" w:afterAutospacing="0" w:before="360" w:lineRule="auto"/>
        <w:ind w:left="720" w:hanging="360"/>
      </w:pPr>
      <w:hyperlink r:id="rId92">
        <w:r w:rsidDel="00000000" w:rsidR="00000000" w:rsidRPr="00000000">
          <w:rPr>
            <w:color w:val="0074b9"/>
            <w:sz w:val="24"/>
            <w:szCs w:val="24"/>
            <w:rtl w:val="0"/>
          </w:rPr>
          <w:t xml:space="preserve">Attention deficit hyperactivity disorder in adults: Treatment overview &gt; INITIAL TREATMENT &gt; Stimulants as preferred pharmacologic treatment &gt; Pretreatment evaluation and contraindications</w:t>
        </w:r>
      </w:hyperlink>
      <w:r w:rsidDel="00000000" w:rsidR="00000000" w:rsidRPr="00000000">
        <w:rPr>
          <w:rtl w:val="0"/>
        </w:rPr>
      </w:r>
    </w:p>
    <w:p w:rsidR="00000000" w:rsidDel="00000000" w:rsidP="00000000" w:rsidRDefault="00000000" w:rsidRPr="00000000" w14:paraId="0000004F">
      <w:pPr>
        <w:numPr>
          <w:ilvl w:val="0"/>
          <w:numId w:val="9"/>
        </w:numPr>
        <w:spacing w:after="0" w:afterAutospacing="0" w:before="0" w:beforeAutospacing="0" w:lineRule="auto"/>
        <w:ind w:left="720" w:hanging="360"/>
      </w:pPr>
      <w:hyperlink r:id="rId93">
        <w:r w:rsidDel="00000000" w:rsidR="00000000" w:rsidRPr="00000000">
          <w:rPr>
            <w:color w:val="0074b9"/>
            <w:sz w:val="24"/>
            <w:szCs w:val="24"/>
            <w:rtl w:val="0"/>
          </w:rPr>
          <w:t xml:space="preserve">Attention deficit hyperactivity disorder in adults: Treatment overview &gt; MONITORING &gt; Monitoring for adverse effects</w:t>
        </w:r>
      </w:hyperlink>
      <w:r w:rsidDel="00000000" w:rsidR="00000000" w:rsidRPr="00000000">
        <w:rPr>
          <w:rtl w:val="0"/>
        </w:rPr>
      </w:r>
    </w:p>
    <w:p w:rsidR="00000000" w:rsidDel="00000000" w:rsidP="00000000" w:rsidRDefault="00000000" w:rsidRPr="00000000" w14:paraId="00000050">
      <w:pPr>
        <w:numPr>
          <w:ilvl w:val="0"/>
          <w:numId w:val="9"/>
        </w:numPr>
        <w:spacing w:before="0" w:beforeAutospacing="0" w:lineRule="auto"/>
        <w:ind w:left="720" w:hanging="360"/>
      </w:pPr>
      <w:hyperlink r:id="rId94">
        <w:r w:rsidDel="00000000" w:rsidR="00000000" w:rsidRPr="00000000">
          <w:rPr>
            <w:color w:val="0074b9"/>
            <w:sz w:val="24"/>
            <w:szCs w:val="24"/>
            <w:rtl w:val="0"/>
          </w:rPr>
          <w:t xml:space="preserve">Schizotypal personality disorder: Treatment overview &gt; AS NEEDED SYMPTOM-TARGETED PHARMACOTHERAPY &gt; Cognitive deficits &gt; Stimulants as preferred option &gt; Administration</w:t>
        </w:r>
      </w:hyperlink>
      <w:r w:rsidDel="00000000" w:rsidR="00000000" w:rsidRPr="00000000">
        <w:rPr>
          <w:rtl w:val="0"/>
        </w:rPr>
      </w:r>
    </w:p>
    <w:p w:rsidR="00000000" w:rsidDel="00000000" w:rsidP="00000000" w:rsidRDefault="00000000" w:rsidRPr="00000000" w14:paraId="00000051">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52">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53">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d62x5udhqj"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140</w:t>
      </w:r>
      <w:r w:rsidDel="00000000" w:rsidR="00000000" w:rsidRPr="00000000">
        <w:rPr>
          <w:rtl w:val="0"/>
        </w:rPr>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glucagon-like peptide 1 (GLP-1) receptor agonists increase the risk of acute cholecystitis in adults, and I am assuming the patient is not pregnant or breastfeeding and does not have other major comorbidities.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hd w:fill="ffffff" w:val="clear"/>
        <w:spacing w:line="390" w:lineRule="auto"/>
        <w:rPr>
          <w:color w:val="232323"/>
          <w:sz w:val="24"/>
          <w:szCs w:val="24"/>
        </w:rPr>
      </w:pPr>
      <w:r w:rsidDel="00000000" w:rsidR="00000000" w:rsidRPr="00000000">
        <w:rPr>
          <w:color w:val="232323"/>
          <w:sz w:val="24"/>
          <w:szCs w:val="24"/>
          <w:rtl w:val="0"/>
        </w:rPr>
        <w:t xml:space="preserve">GLP-1 receptor agonists are associated with an increased risk of gallbladder and biliary diseases, including both cholelithiasis and acute cholecystitis</w:t>
      </w:r>
      <w:hyperlink r:id="rId95">
        <w:r w:rsidDel="00000000" w:rsidR="00000000" w:rsidRPr="00000000">
          <w:rPr>
            <w:color w:val="232323"/>
            <w:sz w:val="24"/>
            <w:szCs w:val="24"/>
            <w:rtl w:val="0"/>
          </w:rPr>
          <w:t xml:space="preserve"> </w:t>
        </w:r>
      </w:hyperlink>
      <w:hyperlink r:id="rId96">
        <w:r w:rsidDel="00000000" w:rsidR="00000000" w:rsidRPr="00000000">
          <w:rPr>
            <w:color w:val="0074b9"/>
            <w:sz w:val="24"/>
            <w:szCs w:val="24"/>
            <w:rtl w:val="0"/>
          </w:rPr>
          <w:t xml:space="preserve">[1]</w:t>
        </w:r>
      </w:hyperlink>
      <w:hyperlink r:id="rId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Meta-analyses of randomized trials and postmarketing surveillance reports have shown that patients treated with GLP-1 receptor agonists have a higher risk of developing gallbladder or biliary diseases compared to those not receiving these agents. Specifically, the risk of acute cholecystitis is increased, and this risk is greater with higher doses, longer duration of treatment, and when GLP-1 receptor agonists are used for weight loss</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[1]</w:t>
        </w:r>
      </w:hyperlink>
      <w:hyperlink r:id="rId10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For further details, see the</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 GLP-1-based therapies: Administration and outcomes in patients with or at high risk for cardiovascular disease</w:t>
        </w:r>
      </w:hyperlink>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A">
      <w:pPr>
        <w:pStyle w:val="Heading3"/>
        <w:keepNext w:val="0"/>
        <w:keepLines w:val="0"/>
        <w:shd w:fill="ffffff" w:val="clear"/>
        <w:spacing w:after="40" w:before="460" w:line="346.66666666666663" w:lineRule="auto"/>
        <w:rPr>
          <w:b w:val="1"/>
          <w:bCs w:val="1"/>
          <w:color w:val="232323"/>
          <w:sz w:val="27"/>
          <w:szCs w:val="27"/>
        </w:rPr>
      </w:pPr>
      <w:bookmarkStart w:colFirst="0" w:colLast="0" w:name="_93fd2vjfkmtz"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5B">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GLP-1 receptor agonists increase the risk of acute cholecystitis and other gallbladder/biliary diseases </w:t>
      </w:r>
      <w:hyperlink r:id="rId105">
        <w:r w:rsidDel="00000000" w:rsidR="00000000" w:rsidRPr="00000000">
          <w:rPr>
            <w:color w:val="0074b9"/>
            <w:sz w:val="24"/>
            <w:szCs w:val="24"/>
            <w:rtl w:val="0"/>
          </w:rPr>
          <w:t xml:space="preserve">[1]</w:t>
        </w:r>
      </w:hyperlink>
      <w:hyperlink r:id="rId10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C">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Risk is higher with greater doses, longer duration, and use for weight loss </w:t>
      </w:r>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this risk when selecting therapy for patients with pre-existing gallbladder disease or risk factors for biliary disease </w:t>
      </w:r>
      <w:hyperlink r:id="rId109">
        <w:r w:rsidDel="00000000" w:rsidR="00000000" w:rsidRPr="00000000">
          <w:rPr>
            <w:color w:val="0074b9"/>
            <w:sz w:val="24"/>
            <w:szCs w:val="24"/>
            <w:rtl w:val="0"/>
          </w:rPr>
          <w:t xml:space="preserve">[1]</w:t>
        </w:r>
      </w:hyperlink>
      <w:hyperlink r:id="rId11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E">
      <w:pPr>
        <w:pStyle w:val="Heading3"/>
        <w:keepNext w:val="0"/>
        <w:keepLines w:val="0"/>
        <w:shd w:fill="ffffff" w:val="clear"/>
        <w:spacing w:after="40" w:before="460" w:line="346.66666666666663" w:lineRule="auto"/>
        <w:rPr>
          <w:b w:val="1"/>
          <w:bCs w:val="1"/>
          <w:color w:val="232323"/>
          <w:sz w:val="27"/>
          <w:szCs w:val="27"/>
        </w:rPr>
      </w:pPr>
      <w:bookmarkStart w:colFirst="0" w:colLast="0" w:name="_g92p913q3fpm"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0">
      <w:pPr>
        <w:numPr>
          <w:ilvl w:val="0"/>
          <w:numId w:val="4"/>
        </w:numPr>
        <w:shd w:fill="ffffff" w:val="clear"/>
        <w:spacing w:after="0" w:afterAutospacing="0" w:before="220" w:line="390" w:lineRule="auto"/>
        <w:ind w:left="720" w:hanging="360"/>
      </w:pPr>
      <w:hyperlink r:id="rId111">
        <w:r w:rsidDel="00000000" w:rsidR="00000000" w:rsidRPr="00000000">
          <w:rPr>
            <w:color w:val="0074b9"/>
            <w:sz w:val="24"/>
            <w:szCs w:val="24"/>
            <w:rtl w:val="0"/>
          </w:rPr>
          <w:t xml:space="preserve">What is the mechanism by which GLP-1 agonists increase gallbladder risk?</w:t>
        </w:r>
      </w:hyperlink>
      <w:r w:rsidDel="00000000" w:rsidR="00000000" w:rsidRPr="00000000">
        <w:rPr>
          <w:rtl w:val="0"/>
        </w:rPr>
      </w:r>
    </w:p>
    <w:p w:rsidR="00000000" w:rsidDel="00000000" w:rsidP="00000000" w:rsidRDefault="00000000" w:rsidRPr="00000000" w14:paraId="00000061">
      <w:pPr>
        <w:numPr>
          <w:ilvl w:val="0"/>
          <w:numId w:val="4"/>
        </w:numPr>
        <w:shd w:fill="ffffff" w:val="clear"/>
        <w:spacing w:after="0" w:afterAutospacing="0" w:before="0" w:beforeAutospacing="0" w:line="390" w:lineRule="auto"/>
        <w:ind w:left="720" w:hanging="360"/>
      </w:pPr>
      <w:hyperlink r:id="rId112">
        <w:r w:rsidDel="00000000" w:rsidR="00000000" w:rsidRPr="00000000">
          <w:rPr>
            <w:color w:val="0074b9"/>
            <w:sz w:val="24"/>
            <w:szCs w:val="24"/>
            <w:rtl w:val="0"/>
          </w:rPr>
          <w:t xml:space="preserve">How should GLP-1 agonists be managed in patients with a history of gallbladder disease?</w:t>
        </w:r>
      </w:hyperlink>
      <w:r w:rsidDel="00000000" w:rsidR="00000000" w:rsidRPr="00000000">
        <w:rPr>
          <w:rtl w:val="0"/>
        </w:rPr>
      </w:r>
    </w:p>
    <w:p w:rsidR="00000000" w:rsidDel="00000000" w:rsidP="00000000" w:rsidRDefault="00000000" w:rsidRPr="00000000" w14:paraId="00000062">
      <w:pPr>
        <w:numPr>
          <w:ilvl w:val="0"/>
          <w:numId w:val="4"/>
        </w:numPr>
        <w:shd w:fill="ffffff" w:val="clear"/>
        <w:spacing w:after="0" w:afterAutospacing="0" w:before="0" w:beforeAutospacing="0" w:line="390" w:lineRule="auto"/>
        <w:ind w:left="720" w:hanging="360"/>
      </w:pPr>
      <w:hyperlink r:id="rId113">
        <w:r w:rsidDel="00000000" w:rsidR="00000000" w:rsidRPr="00000000">
          <w:rPr>
            <w:color w:val="0074b9"/>
            <w:sz w:val="24"/>
            <w:szCs w:val="24"/>
            <w:rtl w:val="0"/>
          </w:rPr>
          <w:t xml:space="preserve">Are certain GLP-1 agonists associated with higher risk than others?</w:t>
        </w:r>
      </w:hyperlink>
      <w:r w:rsidDel="00000000" w:rsidR="00000000" w:rsidRPr="00000000">
        <w:rPr>
          <w:rtl w:val="0"/>
        </w:rPr>
      </w:r>
    </w:p>
    <w:p w:rsidR="00000000" w:rsidDel="00000000" w:rsidP="00000000" w:rsidRDefault="00000000" w:rsidRPr="00000000" w14:paraId="00000063">
      <w:pPr>
        <w:numPr>
          <w:ilvl w:val="0"/>
          <w:numId w:val="4"/>
        </w:numPr>
        <w:shd w:fill="ffffff" w:val="clear"/>
        <w:spacing w:after="0" w:afterAutospacing="0" w:before="0" w:beforeAutospacing="0" w:line="390" w:lineRule="auto"/>
        <w:ind w:left="720" w:hanging="360"/>
      </w:pPr>
      <w:hyperlink r:id="rId114">
        <w:r w:rsidDel="00000000" w:rsidR="00000000" w:rsidRPr="00000000">
          <w:rPr>
            <w:color w:val="0074b9"/>
            <w:sz w:val="24"/>
            <w:szCs w:val="24"/>
            <w:rtl w:val="0"/>
          </w:rPr>
          <w:t xml:space="preserve">What are the clinical features and management of acute cholecystitis?</w:t>
        </w:r>
      </w:hyperlink>
      <w:r w:rsidDel="00000000" w:rsidR="00000000" w:rsidRPr="00000000">
        <w:rPr>
          <w:rtl w:val="0"/>
        </w:rPr>
      </w:r>
    </w:p>
    <w:p w:rsidR="00000000" w:rsidDel="00000000" w:rsidP="00000000" w:rsidRDefault="00000000" w:rsidRPr="00000000" w14:paraId="00000064">
      <w:pPr>
        <w:numPr>
          <w:ilvl w:val="0"/>
          <w:numId w:val="4"/>
        </w:numPr>
        <w:shd w:fill="ffffff" w:val="clear"/>
        <w:spacing w:before="0" w:beforeAutospacing="0" w:line="390" w:lineRule="auto"/>
        <w:ind w:left="720" w:hanging="360"/>
      </w:pPr>
      <w:hyperlink r:id="rId115">
        <w:r w:rsidDel="00000000" w:rsidR="00000000" w:rsidRPr="00000000">
          <w:rPr>
            <w:color w:val="0074b9"/>
            <w:sz w:val="24"/>
            <w:szCs w:val="24"/>
            <w:rtl w:val="0"/>
          </w:rPr>
          <w:t xml:space="preserve">What alternative diabetes or weight loss therapies are available for patients at high risk for biliary disease?</w:t>
        </w:r>
      </w:hyperlink>
      <w:r w:rsidDel="00000000" w:rsidR="00000000" w:rsidRPr="00000000">
        <w:rPr>
          <w:rtl w:val="0"/>
        </w:rPr>
      </w:r>
    </w:p>
    <w:p w:rsidR="00000000" w:rsidDel="00000000" w:rsidP="00000000" w:rsidRDefault="00000000" w:rsidRPr="00000000" w14:paraId="0000006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risk stratification and management.</w:t>
      </w:r>
    </w:p>
    <w:p w:rsidR="00000000" w:rsidDel="00000000" w:rsidP="00000000" w:rsidRDefault="00000000" w:rsidRPr="00000000" w14:paraId="00000066">
      <w:pPr>
        <w:pStyle w:val="Heading3"/>
        <w:keepNext w:val="0"/>
        <w:keepLines w:val="0"/>
        <w:shd w:fill="ffffff" w:val="clear"/>
        <w:spacing w:after="40" w:before="460" w:line="346.66666666666663" w:lineRule="auto"/>
        <w:rPr>
          <w:b w:val="1"/>
          <w:bCs w:val="1"/>
          <w:color w:val="232323"/>
          <w:sz w:val="27"/>
          <w:szCs w:val="27"/>
        </w:rPr>
      </w:pPr>
      <w:bookmarkStart w:colFirst="0" w:colLast="0" w:name="_676aagxcff21"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7">
      <w:pPr>
        <w:numPr>
          <w:ilvl w:val="0"/>
          <w:numId w:val="10"/>
        </w:numPr>
        <w:shd w:fill="ffffff" w:val="clear"/>
        <w:spacing w:after="0" w:afterAutospacing="0" w:before="240" w:lineRule="auto"/>
        <w:ind w:left="720" w:hanging="360"/>
      </w:pPr>
      <w:hyperlink r:id="rId116">
        <w:r w:rsidDel="00000000" w:rsidR="00000000" w:rsidRPr="00000000">
          <w:rPr>
            <w:color w:val="0074b9"/>
            <w:sz w:val="24"/>
            <w:szCs w:val="24"/>
            <w:rtl w:val="0"/>
          </w:rPr>
          <w:t xml:space="preserve">Glucagon-like peptide 1-based therapies for the treatment of type 2 diabetes mellitus &gt; ADVERSE EFFECTS &gt; Gallbladder and biliary diseases</w:t>
        </w:r>
      </w:hyperlink>
      <w:r w:rsidDel="00000000" w:rsidR="00000000" w:rsidRPr="00000000">
        <w:rPr>
          <w:rtl w:val="0"/>
        </w:rPr>
      </w:r>
    </w:p>
    <w:p w:rsidR="00000000" w:rsidDel="00000000" w:rsidP="00000000" w:rsidRDefault="00000000" w:rsidRPr="00000000" w14:paraId="00000068">
      <w:pPr>
        <w:numPr>
          <w:ilvl w:val="0"/>
          <w:numId w:val="10"/>
        </w:numPr>
        <w:shd w:fill="ffffff" w:val="clear"/>
        <w:spacing w:after="0" w:afterAutospacing="0" w:before="0" w:beforeAutospacing="0" w:lineRule="auto"/>
        <w:ind w:left="720" w:hanging="360"/>
      </w:pPr>
      <w:hyperlink r:id="rId117">
        <w:r w:rsidDel="00000000" w:rsidR="00000000" w:rsidRPr="00000000">
          <w:rPr>
            <w:color w:val="0074b9"/>
            <w:sz w:val="24"/>
            <w:szCs w:val="24"/>
            <w:rtl w:val="0"/>
          </w:rPr>
          <w:t xml:space="preserve">Gallstones: Epidemiology, risk factors and prevention &gt; RISK FACTORS &gt; Medications</w:t>
        </w:r>
      </w:hyperlink>
      <w:r w:rsidDel="00000000" w:rsidR="00000000" w:rsidRPr="00000000">
        <w:rPr>
          <w:rtl w:val="0"/>
        </w:rPr>
      </w:r>
    </w:p>
    <w:p w:rsidR="00000000" w:rsidDel="00000000" w:rsidP="00000000" w:rsidRDefault="00000000" w:rsidRPr="00000000" w14:paraId="00000069">
      <w:pPr>
        <w:numPr>
          <w:ilvl w:val="0"/>
          <w:numId w:val="10"/>
        </w:numPr>
        <w:shd w:fill="ffffff" w:val="clear"/>
        <w:spacing w:before="0" w:beforeAutospacing="0" w:lineRule="auto"/>
        <w:ind w:left="720" w:hanging="360"/>
      </w:pPr>
      <w:hyperlink r:id="rId118">
        <w:r w:rsidDel="00000000" w:rsidR="00000000" w:rsidRPr="00000000">
          <w:rPr>
            <w:color w:val="0074b9"/>
            <w:sz w:val="24"/>
            <w:szCs w:val="24"/>
            <w:rtl w:val="0"/>
          </w:rPr>
          <w:t xml:space="preserve">Glucagon-like peptide 1-based therapies for the treatment of type 2 diabetes mellitus &gt; SUGGESTED APPROACH TO THE USE OF GLP-1-BASED THERAPIES &gt; Administration</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138675" TargetMode="External"/><Relationship Id="rId42" Type="http://schemas.openxmlformats.org/officeDocument/2006/relationships/hyperlink" Target="https://www.uptodate.com/contents/5376#H787778994" TargetMode="External"/><Relationship Id="rId41" Type="http://schemas.openxmlformats.org/officeDocument/2006/relationships/hyperlink" Target="https://www.uptodate.com/contents/1772#H875201530"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46" Type="http://schemas.openxmlformats.org/officeDocument/2006/relationships/hyperlink" Target="https://ai.uptodate.com/" TargetMode="External"/><Relationship Id="rId45" Type="http://schemas.openxmlformats.org/officeDocument/2006/relationships/hyperlink" Target="https://ai.uptodate.com/" TargetMode="External"/><Relationship Id="rId107" Type="http://schemas.openxmlformats.org/officeDocument/2006/relationships/hyperlink" Target="https://www.uptodate.com/contents/1772#H875201530" TargetMode="External"/><Relationship Id="rId106" Type="http://schemas.openxmlformats.org/officeDocument/2006/relationships/hyperlink" Target="https://www.uptodate.com/contents/662#H741067470" TargetMode="External"/><Relationship Id="rId105" Type="http://schemas.openxmlformats.org/officeDocument/2006/relationships/hyperlink" Target="https://www.uptodate.com/contents/1772#H875201530" TargetMode="External"/><Relationship Id="rId104" Type="http://schemas.openxmlformats.org/officeDocument/2006/relationships/hyperlink" Target="https://www.uptodate.com/contents/1772#H1866784064" TargetMode="External"/><Relationship Id="rId109" Type="http://schemas.openxmlformats.org/officeDocument/2006/relationships/hyperlink" Target="https://www.uptodate.com/contents/1772#H875201530" TargetMode="External"/><Relationship Id="rId108" Type="http://schemas.openxmlformats.org/officeDocument/2006/relationships/hyperlink" Target="https://www.uptodate.com/contents/662#H741067470" TargetMode="External"/><Relationship Id="rId48" Type="http://schemas.openxmlformats.org/officeDocument/2006/relationships/hyperlink" Target="https://www.uptodate.com/contents/1772#H875201530" TargetMode="External"/><Relationship Id="rId47" Type="http://schemas.openxmlformats.org/officeDocument/2006/relationships/hyperlink" Target="https://ai.uptodate.com/" TargetMode="External"/><Relationship Id="rId49" Type="http://schemas.openxmlformats.org/officeDocument/2006/relationships/hyperlink" Target="https://www.uptodate.com/contents/5376#H787778994" TargetMode="External"/><Relationship Id="rId103" Type="http://schemas.openxmlformats.org/officeDocument/2006/relationships/hyperlink" Target="https://www.uptodate.com/contents/1772#H1866784064" TargetMode="External"/><Relationship Id="rId102" Type="http://schemas.openxmlformats.org/officeDocument/2006/relationships/hyperlink" Target="https://www.uptodate.com/contents/image?imageKey=138312&amp;source=expert-ai&amp;graphic-type=table" TargetMode="External"/><Relationship Id="rId101" Type="http://schemas.openxmlformats.org/officeDocument/2006/relationships/hyperlink" Target="https://www.uptodate.com/contents/image?imageKey=138312&amp;source=expert-ai&amp;graphic-type=table" TargetMode="External"/><Relationship Id="rId100" Type="http://schemas.openxmlformats.org/officeDocument/2006/relationships/hyperlink" Target="https://www.uptodate.com/contents/662#H741067470" TargetMode="External"/><Relationship Id="rId31" Type="http://schemas.openxmlformats.org/officeDocument/2006/relationships/hyperlink" Target="https://uptodate.com/contents/138675" TargetMode="External"/><Relationship Id="rId30" Type="http://schemas.openxmlformats.org/officeDocument/2006/relationships/hyperlink" Target="https://uptodate.com/contents/138675" TargetMode="External"/><Relationship Id="rId33" Type="http://schemas.openxmlformats.org/officeDocument/2006/relationships/hyperlink" Target="https://uptodate.com/contents/138675" TargetMode="External"/><Relationship Id="rId32" Type="http://schemas.openxmlformats.org/officeDocument/2006/relationships/hyperlink" Target="https://www.uptodate.com/contents/1772#H875201530" TargetMode="External"/><Relationship Id="rId35" Type="http://schemas.openxmlformats.org/officeDocument/2006/relationships/hyperlink" Target="https://www.uptodate.com/contents/5376#H787778994" TargetMode="External"/><Relationship Id="rId34" Type="http://schemas.openxmlformats.org/officeDocument/2006/relationships/hyperlink" Target="https://www.uptodate.com/contents/1772#H875201530" TargetMode="External"/><Relationship Id="rId37" Type="http://schemas.openxmlformats.org/officeDocument/2006/relationships/hyperlink" Target="https://www.uptodate.com/contents/1772#H2880506523" TargetMode="External"/><Relationship Id="rId36" Type="http://schemas.openxmlformats.org/officeDocument/2006/relationships/hyperlink" Target="https://www.uptodate.com/contents/5376#H928782115" TargetMode="External"/><Relationship Id="rId39" Type="http://schemas.openxmlformats.org/officeDocument/2006/relationships/hyperlink" Target="https://www.uptodate.com/contents/5376#H787778994" TargetMode="External"/><Relationship Id="rId38" Type="http://schemas.openxmlformats.org/officeDocument/2006/relationships/hyperlink" Target="https://www.uptodate.com/contents/1772#H875201530" TargetMode="External"/><Relationship Id="rId20" Type="http://schemas.openxmlformats.org/officeDocument/2006/relationships/hyperlink" Target="https://www.uptodate.com/contents/5376#H787778994" TargetMode="External"/><Relationship Id="rId22" Type="http://schemas.openxmlformats.org/officeDocument/2006/relationships/hyperlink" Target="https://www.uptodate.com/contents/5376#H928782115" TargetMode="External"/><Relationship Id="rId21" Type="http://schemas.openxmlformats.org/officeDocument/2006/relationships/hyperlink" Target="https://www.uptodate.com/contents/5376#H928782115" TargetMode="External"/><Relationship Id="rId24" Type="http://schemas.openxmlformats.org/officeDocument/2006/relationships/hyperlink" Target="https://uptodate.com/contents/138675" TargetMode="External"/><Relationship Id="rId23" Type="http://schemas.openxmlformats.org/officeDocument/2006/relationships/hyperlink" Target="https://www.uptodate.com/contents/1772#H2880506523" TargetMode="External"/><Relationship Id="rId26" Type="http://schemas.openxmlformats.org/officeDocument/2006/relationships/hyperlink" Target="https://www.uptodate.com/contents/1772#H875201530" TargetMode="External"/><Relationship Id="rId25" Type="http://schemas.openxmlformats.org/officeDocument/2006/relationships/hyperlink" Target="https://uptodate.com/contents/138675" TargetMode="External"/><Relationship Id="rId28" Type="http://schemas.openxmlformats.org/officeDocument/2006/relationships/hyperlink" Target="https://www.uptodate.com/contents/5376#H787778994" TargetMode="External"/><Relationship Id="rId27" Type="http://schemas.openxmlformats.org/officeDocument/2006/relationships/hyperlink" Target="https://www.uptodate.com/contents/1772#H875201530" TargetMode="External"/><Relationship Id="rId29" Type="http://schemas.openxmlformats.org/officeDocument/2006/relationships/hyperlink" Target="https://uptodate.com/contents/138675" TargetMode="External"/><Relationship Id="rId95" Type="http://schemas.openxmlformats.org/officeDocument/2006/relationships/hyperlink" Target="https://www.uptodate.com/contents/1772#H875201530" TargetMode="External"/><Relationship Id="rId94" Type="http://schemas.openxmlformats.org/officeDocument/2006/relationships/hyperlink" Target="https://www.uptodate.com/contents/116590#H2221088215" TargetMode="External"/><Relationship Id="rId97" Type="http://schemas.openxmlformats.org/officeDocument/2006/relationships/hyperlink" Target="https://www.uptodate.com/contents/662#H741067470" TargetMode="External"/><Relationship Id="rId96" Type="http://schemas.openxmlformats.org/officeDocument/2006/relationships/hyperlink" Target="https://www.uptodate.com/contents/1772#H875201530" TargetMode="External"/><Relationship Id="rId11" Type="http://schemas.openxmlformats.org/officeDocument/2006/relationships/hyperlink" Target="https://uptodate.com/contents/138675" TargetMode="External"/><Relationship Id="rId99" Type="http://schemas.openxmlformats.org/officeDocument/2006/relationships/hyperlink" Target="https://www.uptodate.com/contents/1772#H875201530" TargetMode="External"/><Relationship Id="rId10" Type="http://schemas.openxmlformats.org/officeDocument/2006/relationships/hyperlink" Target="https://uptodate.com/contents/138675" TargetMode="External"/><Relationship Id="rId98" Type="http://schemas.openxmlformats.org/officeDocument/2006/relationships/hyperlink" Target="https://www.uptodate.com/contents/1772#H875201530" TargetMode="External"/><Relationship Id="rId13" Type="http://schemas.openxmlformats.org/officeDocument/2006/relationships/hyperlink" Target="https://www.uptodate.com/contents/1772#H875201530" TargetMode="External"/><Relationship Id="rId12" Type="http://schemas.openxmlformats.org/officeDocument/2006/relationships/hyperlink" Target="https://www.uptodate.com/contents/1772#H875201530"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www.uptodate.com/contents/118534#H2689554835" TargetMode="External"/><Relationship Id="rId92" Type="http://schemas.openxmlformats.org/officeDocument/2006/relationships/hyperlink" Target="https://www.uptodate.com/contents/118534#H996303115" TargetMode="External"/><Relationship Id="rId118" Type="http://schemas.openxmlformats.org/officeDocument/2006/relationships/hyperlink" Target="https://www.uptodate.com/contents/1772#H1866784064" TargetMode="External"/><Relationship Id="rId117" Type="http://schemas.openxmlformats.org/officeDocument/2006/relationships/hyperlink" Target="https://www.uptodate.com/contents/662#H741067470" TargetMode="External"/><Relationship Id="rId116" Type="http://schemas.openxmlformats.org/officeDocument/2006/relationships/hyperlink" Target="https://www.uptodate.com/contents/1772#H875201530" TargetMode="External"/><Relationship Id="rId115" Type="http://schemas.openxmlformats.org/officeDocument/2006/relationships/hyperlink" Target="https://ai.uptodate.com/" TargetMode="External"/><Relationship Id="rId15" Type="http://schemas.openxmlformats.org/officeDocument/2006/relationships/hyperlink" Target="https://www.uptodate.com/contents/1772#H875201530" TargetMode="External"/><Relationship Id="rId110" Type="http://schemas.openxmlformats.org/officeDocument/2006/relationships/hyperlink" Target="https://www.uptodate.com/contents/662#H741067470" TargetMode="External"/><Relationship Id="rId14" Type="http://schemas.openxmlformats.org/officeDocument/2006/relationships/hyperlink" Target="https://www.uptodate.com/contents/1772#H875201530" TargetMode="External"/><Relationship Id="rId17" Type="http://schemas.openxmlformats.org/officeDocument/2006/relationships/hyperlink" Target="https://uptodate.com/contents/138675" TargetMode="External"/><Relationship Id="rId16" Type="http://schemas.openxmlformats.org/officeDocument/2006/relationships/hyperlink" Target="https://uptodate.com/contents/138675" TargetMode="External"/><Relationship Id="rId19" Type="http://schemas.openxmlformats.org/officeDocument/2006/relationships/hyperlink" Target="https://www.uptodate.com/contents/1772#H875201530" TargetMode="External"/><Relationship Id="rId114" Type="http://schemas.openxmlformats.org/officeDocument/2006/relationships/hyperlink" Target="https://ai.uptodate.com/" TargetMode="External"/><Relationship Id="rId18" Type="http://schemas.openxmlformats.org/officeDocument/2006/relationships/hyperlink" Target="https://www.uptodate.com/contents/1772#H875201530" TargetMode="External"/><Relationship Id="rId113" Type="http://schemas.openxmlformats.org/officeDocument/2006/relationships/hyperlink" Target="https://ai.uptodate.com/" TargetMode="External"/><Relationship Id="rId112" Type="http://schemas.openxmlformats.org/officeDocument/2006/relationships/hyperlink" Target="https://ai.uptodate.com/" TargetMode="External"/><Relationship Id="rId111" Type="http://schemas.openxmlformats.org/officeDocument/2006/relationships/hyperlink" Target="https://ai.uptodate.com/" TargetMode="External"/><Relationship Id="rId84" Type="http://schemas.openxmlformats.org/officeDocument/2006/relationships/hyperlink" Target="https://www.uptodate.com/contents/118534#H996303115" TargetMode="External"/><Relationship Id="rId83" Type="http://schemas.openxmlformats.org/officeDocument/2006/relationships/hyperlink" Target="https://www.uptodate.com/contents/118534#H996303115" TargetMode="External"/><Relationship Id="rId86" Type="http://schemas.openxmlformats.org/officeDocument/2006/relationships/hyperlink" Target="https://www.uptodate.com/contents/116590#H2221088215" TargetMode="External"/><Relationship Id="rId85" Type="http://schemas.openxmlformats.org/officeDocument/2006/relationships/hyperlink" Target="https://www.uptodate.com/contents/118534#H2689554835" TargetMode="External"/><Relationship Id="rId88" Type="http://schemas.openxmlformats.org/officeDocument/2006/relationships/hyperlink" Target="https://ai.uptodate.com/"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1669#H105127731" TargetMode="External"/><Relationship Id="rId82" Type="http://schemas.openxmlformats.org/officeDocument/2006/relationships/hyperlink" Target="https://uptodate.com/contents/9638" TargetMode="External"/><Relationship Id="rId81" Type="http://schemas.openxmlformats.org/officeDocument/2006/relationships/hyperlink" Target="https://uptodate.com/contents/96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ptodate.com/contents/138675" TargetMode="External"/><Relationship Id="rId5" Type="http://schemas.openxmlformats.org/officeDocument/2006/relationships/styles" Target="styles.xml"/><Relationship Id="rId6" Type="http://schemas.openxmlformats.org/officeDocument/2006/relationships/hyperlink" Target="https://uptodate.com/contents/138675" TargetMode="External"/><Relationship Id="rId7" Type="http://schemas.openxmlformats.org/officeDocument/2006/relationships/hyperlink" Target="https://uptodate.com/contents/138675" TargetMode="External"/><Relationship Id="rId8" Type="http://schemas.openxmlformats.org/officeDocument/2006/relationships/hyperlink" Target="https://uptodate.com/contents/138675"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1669#H817689"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1672#H7" TargetMode="External"/><Relationship Id="rId76" Type="http://schemas.openxmlformats.org/officeDocument/2006/relationships/hyperlink" Target="https://www.uptodate.com/contents/1669#H170944346" TargetMode="External"/><Relationship Id="rId79" Type="http://schemas.openxmlformats.org/officeDocument/2006/relationships/hyperlink" Target="https://www.uptodate.com/contents/7378#H6582391" TargetMode="External"/><Relationship Id="rId78" Type="http://schemas.openxmlformats.org/officeDocument/2006/relationships/hyperlink" Target="https://www.uptodate.com/contents/1669#H130221350"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62" Type="http://schemas.openxmlformats.org/officeDocument/2006/relationships/hyperlink" Target="https://www.uptodate.com/contents/1669#H817689" TargetMode="External"/><Relationship Id="rId61" Type="http://schemas.openxmlformats.org/officeDocument/2006/relationships/hyperlink" Target="https://www.uptodate.com/contents/1669#H170944346" TargetMode="External"/><Relationship Id="rId64" Type="http://schemas.openxmlformats.org/officeDocument/2006/relationships/hyperlink" Target="https://www.uptodate.com/contents/1669#H817689" TargetMode="External"/><Relationship Id="rId63" Type="http://schemas.openxmlformats.org/officeDocument/2006/relationships/hyperlink" Target="https://www.uptodate.com/contents/1669#H170944346" TargetMode="External"/><Relationship Id="rId66" Type="http://schemas.openxmlformats.org/officeDocument/2006/relationships/hyperlink" Target="https://www.uptodate.com/contents/1669#H130221350" TargetMode="External"/><Relationship Id="rId65" Type="http://schemas.openxmlformats.org/officeDocument/2006/relationships/hyperlink" Target="https://www.uptodate.com/contents/1672#H7" TargetMode="External"/><Relationship Id="rId68" Type="http://schemas.openxmlformats.org/officeDocument/2006/relationships/hyperlink" Target="https://www.uptodate.com/contents/1669#H170944346" TargetMode="External"/><Relationship Id="rId67" Type="http://schemas.openxmlformats.org/officeDocument/2006/relationships/hyperlink" Target="https://www.uptodate.com/contents/7378#H6582391" TargetMode="External"/><Relationship Id="rId60" Type="http://schemas.openxmlformats.org/officeDocument/2006/relationships/hyperlink" Target="https://www.uptodate.com/contents/1669#H105127731" TargetMode="External"/><Relationship Id="rId69" Type="http://schemas.openxmlformats.org/officeDocument/2006/relationships/hyperlink" Target="https://www.uptodate.com/contents/1669#H817689" TargetMode="External"/><Relationship Id="rId51" Type="http://schemas.openxmlformats.org/officeDocument/2006/relationships/hyperlink" Target="https://www.uptodate.com/contents/1772#H2880506523" TargetMode="External"/><Relationship Id="rId50" Type="http://schemas.openxmlformats.org/officeDocument/2006/relationships/hyperlink" Target="https://www.uptodate.com/contents/5376#H928782115" TargetMode="External"/><Relationship Id="rId53" Type="http://schemas.openxmlformats.org/officeDocument/2006/relationships/hyperlink" Target="https://www.uptodate.com/contents/1669#H817689" TargetMode="External"/><Relationship Id="rId52" Type="http://schemas.openxmlformats.org/officeDocument/2006/relationships/hyperlink" Target="https://www.uptodate.com/contents/1669#H817689" TargetMode="External"/><Relationship Id="rId55" Type="http://schemas.openxmlformats.org/officeDocument/2006/relationships/hyperlink" Target="https://www.uptodate.com/contents/1669#H817689" TargetMode="External"/><Relationship Id="rId54" Type="http://schemas.openxmlformats.org/officeDocument/2006/relationships/hyperlink" Target="https://www.uptodate.com/contents/1669#H170944346" TargetMode="External"/><Relationship Id="rId57" Type="http://schemas.openxmlformats.org/officeDocument/2006/relationships/hyperlink" Target="https://www.uptodate.com/contents/1672#H7" TargetMode="External"/><Relationship Id="rId56" Type="http://schemas.openxmlformats.org/officeDocument/2006/relationships/hyperlink" Target="https://www.uptodate.com/contents/1669#H170944346" TargetMode="External"/><Relationship Id="rId59" Type="http://schemas.openxmlformats.org/officeDocument/2006/relationships/hyperlink" Target="https://www.uptodate.com/contents/7378#H6582391" TargetMode="External"/><Relationship Id="rId58" Type="http://schemas.openxmlformats.org/officeDocument/2006/relationships/hyperlink" Target="https://www.uptodate.com/contents/1669#H130221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