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lqmbnkiz5d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if a total bilirubin of 1.4 mg/dL in a 69-year-old male with multiple comorbidities is clinically significant. Assuming the patient is not jaundiced and has no acute liver symptoms.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b w:val="1"/>
          <w:bCs w:val="1"/>
          <w:color w:val="232323"/>
          <w:sz w:val="24"/>
          <w:szCs w:val="24"/>
          <w:rtl w:val="0"/>
        </w:rPr>
        <w:t xml:space="preserve">A total bilirubin of 1.4 mg/dL is mildly elevated but not clinically significant in isolation for this adult male.</w:t>
      </w:r>
      <w:r w:rsidDel="00000000" w:rsidR="00000000" w:rsidRPr="00000000">
        <w:rPr>
          <w:color w:val="232323"/>
          <w:sz w:val="24"/>
          <w:szCs w:val="24"/>
          <w:rtl w:val="0"/>
        </w:rPr>
        <w:t xml:space="preserve"> Most healthy adults have total bilirubin &lt;1 mg/dL, but mild elevations can occur due to benign or transient causes and do not necessarily indicate liver dysfunction</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7">
      <w:pPr>
        <w:shd w:fill="ffffff" w:val="clear"/>
        <w:spacing w:line="390" w:lineRule="auto"/>
        <w:rPr>
          <w:color w:val="232323"/>
          <w:sz w:val="24"/>
          <w:szCs w:val="24"/>
        </w:rPr>
      </w:pPr>
      <w:r w:rsidDel="00000000" w:rsidR="00000000" w:rsidRPr="00000000">
        <w:rPr>
          <w:color w:val="232323"/>
          <w:sz w:val="24"/>
          <w:szCs w:val="24"/>
          <w:rtl w:val="0"/>
        </w:rPr>
        <w:t xml:space="preserve">No immediate intervention is required for isolated mild hyperbilirubinemia without symptoms or other abnormal liver tests</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pStyle w:val="Heading3"/>
        <w:keepNext w:val="0"/>
        <w:keepLines w:val="0"/>
        <w:shd w:fill="ffffff" w:val="clear"/>
        <w:spacing w:after="40" w:before="460" w:line="346.66666666666663" w:lineRule="auto"/>
        <w:rPr>
          <w:b w:val="1"/>
          <w:bCs w:val="1"/>
          <w:color w:val="232323"/>
          <w:sz w:val="27"/>
          <w:szCs w:val="27"/>
        </w:rPr>
      </w:pPr>
      <w:bookmarkStart w:colFirst="0" w:colLast="0" w:name="_ex1kzm5xpi9c"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9">
      <w:pPr>
        <w:numPr>
          <w:ilvl w:val="0"/>
          <w:numId w:val="7"/>
        </w:numPr>
        <w:ind w:left="720" w:hanging="360"/>
        <w:rPr>
          <w:sz w:val="24"/>
          <w:szCs w:val="24"/>
        </w:rPr>
      </w:pPr>
      <w:r w:rsidDel="00000000" w:rsidR="00000000" w:rsidRPr="00000000">
        <w:rPr>
          <w:b w:val="1"/>
          <w:bCs w:val="1"/>
          <w:color w:val="232323"/>
          <w:sz w:val="24"/>
          <w:szCs w:val="24"/>
          <w:rtl w:val="0"/>
        </w:rPr>
        <w:t xml:space="preserve">Total bilirubin 1.4 mg/dL</w:t>
      </w:r>
      <w:r w:rsidDel="00000000" w:rsidR="00000000" w:rsidRPr="00000000">
        <w:rPr>
          <w:color w:val="232323"/>
          <w:sz w:val="24"/>
          <w:szCs w:val="24"/>
          <w:rtl w:val="0"/>
        </w:rPr>
        <w:t xml:space="preserve"> -&gt; Mildly elevated; not diagnostic of liver disease alone</w:t>
      </w:r>
      <w:hyperlink r:id="rId13">
        <w:r w:rsidDel="00000000" w:rsidR="00000000" w:rsidRPr="00000000">
          <w:rPr>
            <w:color w:val="232323"/>
            <w:sz w:val="24"/>
            <w:szCs w:val="24"/>
            <w:rtl w:val="0"/>
          </w:rPr>
          <w:t xml:space="preserve"> </w:t>
        </w:r>
      </w:hyperlink>
      <w:hyperlink r:id="rId14">
        <w:r w:rsidDel="00000000" w:rsidR="00000000" w:rsidRPr="00000000">
          <w:rPr>
            <w:color w:val="0074b9"/>
            <w:sz w:val="24"/>
            <w:szCs w:val="24"/>
            <w:rtl w:val="0"/>
          </w:rPr>
          <w:t xml:space="preserve">[1]</w:t>
        </w:r>
      </w:hyperlink>
      <w:hyperlink r:id="rId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A">
      <w:pPr>
        <w:numPr>
          <w:ilvl w:val="0"/>
          <w:numId w:val="7"/>
        </w:numPr>
        <w:ind w:left="720" w:hanging="360"/>
        <w:rPr>
          <w:sz w:val="24"/>
          <w:szCs w:val="24"/>
        </w:rPr>
      </w:pPr>
      <w:r w:rsidDel="00000000" w:rsidR="00000000" w:rsidRPr="00000000">
        <w:rPr>
          <w:b w:val="1"/>
          <w:bCs w:val="1"/>
          <w:color w:val="232323"/>
          <w:sz w:val="24"/>
          <w:szCs w:val="24"/>
          <w:rtl w:val="0"/>
        </w:rPr>
        <w:t xml:space="preserve">Normal ALT, AST, Alk Phos, Albumin</w:t>
      </w:r>
      <w:r w:rsidDel="00000000" w:rsidR="00000000" w:rsidRPr="00000000">
        <w:rPr>
          <w:color w:val="232323"/>
          <w:sz w:val="24"/>
          <w:szCs w:val="24"/>
          <w:rtl w:val="0"/>
        </w:rPr>
        <w:t xml:space="preserve"> -&gt; No evidence of hepatocellular injury or cholestasis</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[3]</w:t>
        </w:r>
      </w:hyperlink>
      <w:hyperlink r:id="rId1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B">
      <w:pPr>
        <w:numPr>
          <w:ilvl w:val="0"/>
          <w:numId w:val="7"/>
        </w:numPr>
        <w:ind w:left="720" w:hanging="360"/>
        <w:rPr>
          <w:sz w:val="24"/>
          <w:szCs w:val="24"/>
        </w:rPr>
      </w:pPr>
      <w:r w:rsidDel="00000000" w:rsidR="00000000" w:rsidRPr="00000000">
        <w:rPr>
          <w:b w:val="1"/>
          <w:bCs w:val="1"/>
          <w:color w:val="232323"/>
          <w:sz w:val="24"/>
          <w:szCs w:val="24"/>
          <w:rtl w:val="0"/>
        </w:rPr>
        <w:t xml:space="preserve">Platelets 122-141 x10^3/uL, eGFR 79-95.6, Creatinine 1 mg/dL</w:t>
      </w:r>
      <w:r w:rsidDel="00000000" w:rsidR="00000000" w:rsidRPr="00000000">
        <w:rPr>
          <w:color w:val="232323"/>
          <w:sz w:val="24"/>
          <w:szCs w:val="24"/>
          <w:rtl w:val="0"/>
        </w:rPr>
        <w:t xml:space="preserve"> -&gt; No evidence of severe hepatic or renal dysfunction</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7"/>
        </w:numPr>
        <w:ind w:left="720" w:hanging="360"/>
        <w:rPr>
          <w:sz w:val="24"/>
          <w:szCs w:val="24"/>
        </w:rPr>
      </w:pPr>
      <w:r w:rsidDel="00000000" w:rsidR="00000000" w:rsidRPr="00000000">
        <w:rPr>
          <w:b w:val="1"/>
          <w:bCs w:val="1"/>
          <w:color w:val="232323"/>
          <w:sz w:val="24"/>
          <w:szCs w:val="24"/>
          <w:rtl w:val="0"/>
        </w:rPr>
        <w:t xml:space="preserve">No jaundice or acute symptoms reported</w:t>
      </w:r>
      <w:r w:rsidDel="00000000" w:rsidR="00000000" w:rsidRPr="00000000">
        <w:rPr>
          <w:color w:val="232323"/>
          <w:sz w:val="24"/>
          <w:szCs w:val="24"/>
          <w:rtl w:val="0"/>
        </w:rPr>
        <w:t xml:space="preserve"> -&gt; No urgent evaluation needed</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[2]</w:t>
        </w:r>
      </w:hyperlink>
      <w:hyperlink r:id="rId2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D">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mixed hyperlipidemia, thrombocytopenia, exposure to SARS-CoV-2</w:t>
      </w:r>
      <w:r w:rsidDel="00000000" w:rsidR="00000000" w:rsidRPr="00000000">
        <w:rPr>
          <w:color w:val="232323"/>
          <w:sz w:val="24"/>
          <w:szCs w:val="24"/>
          <w:rtl w:val="0"/>
        </w:rPr>
        <w:t xml:space="preserve"> -&gt; Consider comorbidities, but none directly explain mild hyperbilirubinemia</w:t>
      </w:r>
      <w:hyperlink r:id="rId24">
        <w:r w:rsidDel="00000000" w:rsidR="00000000" w:rsidRPr="00000000">
          <w:rPr>
            <w:color w:val="232323"/>
            <w:sz w:val="24"/>
            <w:szCs w:val="24"/>
            <w:rtl w:val="0"/>
          </w:rPr>
          <w:t xml:space="preserve"> </w:t>
        </w:r>
      </w:hyperlink>
      <w:hyperlink r:id="rId2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7kfc2wol2u8b"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F">
      <w:pPr>
        <w:shd w:fill="ffffff" w:val="clear"/>
        <w:spacing w:line="390" w:lineRule="auto"/>
        <w:rPr>
          <w:color w:val="232323"/>
          <w:sz w:val="24"/>
          <w:szCs w:val="24"/>
        </w:rPr>
      </w:pPr>
      <w:r w:rsidDel="00000000" w:rsidR="00000000" w:rsidRPr="00000000">
        <w:rPr>
          <w:color w:val="232323"/>
          <w:sz w:val="24"/>
          <w:szCs w:val="24"/>
          <w:rtl w:val="0"/>
        </w:rPr>
        <w:t xml:space="preserve">Mild isolated hyperbilirubinemia is common and often benign in adults, especially without other abnormal liver tests or symptoms</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[2]</w:t>
        </w:r>
      </w:hyperlink>
      <w:hyperlink r:id="rId2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ycl1inxeom8h"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2">
      <w:pPr>
        <w:numPr>
          <w:ilvl w:val="0"/>
          <w:numId w:val="14"/>
        </w:numPr>
        <w:shd w:fill="ffffff" w:val="clear"/>
        <w:spacing w:after="0" w:afterAutospacing="0" w:before="220" w:line="390" w:lineRule="auto"/>
        <w:ind w:left="720" w:hanging="360"/>
      </w:pPr>
      <w:hyperlink r:id="rId30">
        <w:r w:rsidDel="00000000" w:rsidR="00000000" w:rsidRPr="00000000">
          <w:rPr>
            <w:color w:val="0074b9"/>
            <w:sz w:val="24"/>
            <w:szCs w:val="24"/>
            <w:rtl w:val="0"/>
          </w:rPr>
          <w:t xml:space="preserve">What if the bilirubin continues to rise?</w:t>
        </w:r>
      </w:hyperlink>
      <w:r w:rsidDel="00000000" w:rsidR="00000000" w:rsidRPr="00000000">
        <w:rPr>
          <w:rtl w:val="0"/>
        </w:rPr>
      </w:r>
    </w:p>
    <w:p w:rsidR="00000000" w:rsidDel="00000000" w:rsidP="00000000" w:rsidRDefault="00000000" w:rsidRPr="00000000" w14:paraId="00000013">
      <w:pPr>
        <w:numPr>
          <w:ilvl w:val="0"/>
          <w:numId w:val="14"/>
        </w:numPr>
        <w:shd w:fill="ffffff" w:val="clear"/>
        <w:spacing w:after="0" w:afterAutospacing="0" w:before="0" w:beforeAutospacing="0" w:line="390" w:lineRule="auto"/>
        <w:ind w:left="720" w:hanging="360"/>
      </w:pPr>
      <w:hyperlink r:id="rId31">
        <w:r w:rsidDel="00000000" w:rsidR="00000000" w:rsidRPr="00000000">
          <w:rPr>
            <w:color w:val="0074b9"/>
            <w:sz w:val="24"/>
            <w:szCs w:val="24"/>
            <w:rtl w:val="0"/>
          </w:rPr>
          <w:t xml:space="preserve">What if the patient develops jaundice or other symptoms?</w:t>
        </w:r>
      </w:hyperlink>
      <w:r w:rsidDel="00000000" w:rsidR="00000000" w:rsidRPr="00000000">
        <w:rPr>
          <w:rtl w:val="0"/>
        </w:rPr>
      </w:r>
    </w:p>
    <w:p w:rsidR="00000000" w:rsidDel="00000000" w:rsidP="00000000" w:rsidRDefault="00000000" w:rsidRPr="00000000" w14:paraId="00000014">
      <w:pPr>
        <w:numPr>
          <w:ilvl w:val="0"/>
          <w:numId w:val="14"/>
        </w:numPr>
        <w:shd w:fill="ffffff" w:val="clear"/>
        <w:spacing w:after="0" w:afterAutospacing="0" w:before="0" w:beforeAutospacing="0" w:line="390" w:lineRule="auto"/>
        <w:ind w:left="720" w:hanging="360"/>
      </w:pPr>
      <w:hyperlink r:id="rId32">
        <w:r w:rsidDel="00000000" w:rsidR="00000000" w:rsidRPr="00000000">
          <w:rPr>
            <w:color w:val="0074b9"/>
            <w:sz w:val="24"/>
            <w:szCs w:val="24"/>
            <w:rtl w:val="0"/>
          </w:rPr>
          <w:t xml:space="preserve">Should fractionated (direct/indirect) bilirubin be checked?</w:t>
        </w:r>
      </w:hyperlink>
      <w:r w:rsidDel="00000000" w:rsidR="00000000" w:rsidRPr="00000000">
        <w:rPr>
          <w:rtl w:val="0"/>
        </w:rPr>
      </w:r>
    </w:p>
    <w:p w:rsidR="00000000" w:rsidDel="00000000" w:rsidP="00000000" w:rsidRDefault="00000000" w:rsidRPr="00000000" w14:paraId="00000015">
      <w:pPr>
        <w:numPr>
          <w:ilvl w:val="0"/>
          <w:numId w:val="14"/>
        </w:numPr>
        <w:shd w:fill="ffffff" w:val="clear"/>
        <w:spacing w:after="0" w:afterAutospacing="0" w:before="0" w:beforeAutospacing="0" w:line="390" w:lineRule="auto"/>
        <w:ind w:left="720" w:hanging="360"/>
      </w:pPr>
      <w:hyperlink r:id="rId33">
        <w:r w:rsidDel="00000000" w:rsidR="00000000" w:rsidRPr="00000000">
          <w:rPr>
            <w:color w:val="0074b9"/>
            <w:sz w:val="24"/>
            <w:szCs w:val="24"/>
            <w:rtl w:val="0"/>
          </w:rPr>
          <w:t xml:space="preserve">What if other liver tests become abnormal?</w:t>
        </w:r>
      </w:hyperlink>
      <w:r w:rsidDel="00000000" w:rsidR="00000000" w:rsidRPr="00000000">
        <w:rPr>
          <w:rtl w:val="0"/>
        </w:rPr>
      </w:r>
    </w:p>
    <w:p w:rsidR="00000000" w:rsidDel="00000000" w:rsidP="00000000" w:rsidRDefault="00000000" w:rsidRPr="00000000" w14:paraId="00000016">
      <w:pPr>
        <w:numPr>
          <w:ilvl w:val="0"/>
          <w:numId w:val="14"/>
        </w:numPr>
        <w:shd w:fill="ffffff" w:val="clear"/>
        <w:spacing w:before="0" w:beforeAutospacing="0" w:line="390" w:lineRule="auto"/>
        <w:ind w:left="720" w:hanging="360"/>
      </w:pPr>
      <w:hyperlink r:id="rId34">
        <w:r w:rsidDel="00000000" w:rsidR="00000000" w:rsidRPr="00000000">
          <w:rPr>
            <w:color w:val="0074b9"/>
            <w:sz w:val="24"/>
            <w:szCs w:val="24"/>
            <w:rtl w:val="0"/>
          </w:rPr>
          <w:t xml:space="preserve">How do comorbidities affect bilirubin interpretation?</w:t>
        </w:r>
      </w:hyperlink>
      <w:r w:rsidDel="00000000" w:rsidR="00000000" w:rsidRPr="00000000">
        <w:rPr>
          <w:rtl w:val="0"/>
        </w:rPr>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liver test interpretation.</w:t>
      </w:r>
    </w:p>
    <w:p w:rsidR="00000000" w:rsidDel="00000000" w:rsidP="00000000" w:rsidRDefault="00000000" w:rsidRPr="00000000" w14:paraId="00000019">
      <w:pPr>
        <w:pStyle w:val="Heading3"/>
        <w:keepNext w:val="0"/>
        <w:keepLines w:val="0"/>
        <w:shd w:fill="ffffff" w:val="clear"/>
        <w:spacing w:after="40" w:before="460" w:line="346.66666666666663" w:lineRule="auto"/>
        <w:rPr>
          <w:b w:val="1"/>
          <w:bCs w:val="1"/>
          <w:color w:val="232323"/>
          <w:sz w:val="27"/>
          <w:szCs w:val="27"/>
        </w:rPr>
      </w:pPr>
      <w:bookmarkStart w:colFirst="0" w:colLast="0" w:name="_mkd52hz0ao9f"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A">
      <w:pPr>
        <w:numPr>
          <w:ilvl w:val="0"/>
          <w:numId w:val="12"/>
        </w:numPr>
        <w:shd w:fill="ffffff" w:val="clear"/>
        <w:spacing w:after="0" w:afterAutospacing="0" w:before="240" w:lineRule="auto"/>
        <w:ind w:left="720" w:hanging="360"/>
      </w:pPr>
      <w:hyperlink r:id="rId35">
        <w:r w:rsidDel="00000000" w:rsidR="00000000" w:rsidRPr="00000000">
          <w:rPr>
            <w:color w:val="0074b9"/>
            <w:sz w:val="24"/>
            <w:szCs w:val="24"/>
            <w:rtl w:val="0"/>
          </w:rPr>
          <w:t xml:space="preserve">Overview of liver biochemical tests &gt; LIVER TESTS THAT REFLECT CHOLESTASIS &gt; Bilirubin &gt; Clinical interpretation &gt; Normal range</w:t>
        </w:r>
      </w:hyperlink>
      <w:r w:rsidDel="00000000" w:rsidR="00000000" w:rsidRPr="00000000">
        <w:rPr>
          <w:rtl w:val="0"/>
        </w:rPr>
      </w:r>
    </w:p>
    <w:p w:rsidR="00000000" w:rsidDel="00000000" w:rsidP="00000000" w:rsidRDefault="00000000" w:rsidRPr="00000000" w14:paraId="0000001B">
      <w:pPr>
        <w:numPr>
          <w:ilvl w:val="0"/>
          <w:numId w:val="12"/>
        </w:numPr>
        <w:shd w:fill="ffffff" w:val="clear"/>
        <w:spacing w:after="0" w:afterAutospacing="0" w:before="0" w:beforeAutospacing="0" w:lineRule="auto"/>
        <w:ind w:left="720" w:hanging="360"/>
      </w:pPr>
      <w:hyperlink r:id="rId36">
        <w:r w:rsidDel="00000000" w:rsidR="00000000" w:rsidRPr="00000000">
          <w:rPr>
            <w:color w:val="0074b9"/>
            <w:sz w:val="24"/>
            <w:szCs w:val="24"/>
            <w:rtl w:val="0"/>
          </w:rPr>
          <w:t xml:space="preserve">Overview of liver biochemical tests &gt; LIVER TESTS THAT REFLECT CHOLESTASIS &gt; Bilirubin &gt; Clinical interpretation &gt; Total serum bilirubin</w:t>
        </w:r>
      </w:hyperlink>
      <w:r w:rsidDel="00000000" w:rsidR="00000000" w:rsidRPr="00000000">
        <w:rPr>
          <w:rtl w:val="0"/>
        </w:rPr>
      </w:r>
    </w:p>
    <w:p w:rsidR="00000000" w:rsidDel="00000000" w:rsidP="00000000" w:rsidRDefault="00000000" w:rsidRPr="00000000" w14:paraId="0000001C">
      <w:pPr>
        <w:numPr>
          <w:ilvl w:val="0"/>
          <w:numId w:val="12"/>
        </w:numPr>
        <w:shd w:fill="ffffff" w:val="clear"/>
        <w:spacing w:after="0" w:afterAutospacing="0" w:before="0" w:beforeAutospacing="0" w:lineRule="auto"/>
        <w:ind w:left="720" w:hanging="360"/>
      </w:pPr>
      <w:hyperlink r:id="rId37">
        <w:r w:rsidDel="00000000" w:rsidR="00000000" w:rsidRPr="00000000">
          <w:rPr>
            <w:color w:val="0074b9"/>
            <w:sz w:val="24"/>
            <w:szCs w:val="24"/>
            <w:rtl w:val="0"/>
          </w:rPr>
          <w:t xml:space="preserve">Overview of liver biochemical tests &gt; SUMMARY AND RECOMMENDATIONS</w:t>
        </w:r>
      </w:hyperlink>
      <w:r w:rsidDel="00000000" w:rsidR="00000000" w:rsidRPr="00000000">
        <w:rPr>
          <w:rtl w:val="0"/>
        </w:rPr>
      </w:r>
    </w:p>
    <w:p w:rsidR="00000000" w:rsidDel="00000000" w:rsidP="00000000" w:rsidRDefault="00000000" w:rsidRPr="00000000" w14:paraId="0000001D">
      <w:pPr>
        <w:numPr>
          <w:ilvl w:val="0"/>
          <w:numId w:val="12"/>
        </w:numPr>
        <w:shd w:fill="ffffff" w:val="clear"/>
        <w:spacing w:before="0" w:beforeAutospacing="0" w:lineRule="auto"/>
        <w:ind w:left="720" w:hanging="360"/>
      </w:pPr>
      <w:hyperlink r:id="rId38">
        <w:r w:rsidDel="00000000" w:rsidR="00000000" w:rsidRPr="00000000">
          <w:rPr>
            <w:color w:val="0074b9"/>
            <w:sz w:val="24"/>
            <w:szCs w:val="24"/>
            <w:rtl w:val="0"/>
          </w:rPr>
          <w:t xml:space="preserve">Diagnostic approach to the adult with jaundice or asymptomatic hyperbilirubinemia &gt; EVALUATION &gt; Initial laboratory tests and interpretation</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1k2sc3up1b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134</w:t>
      </w:r>
      <w:r w:rsidDel="00000000" w:rsidR="00000000" w:rsidRPr="00000000">
        <w:rPr>
          <w:rtl w:val="0"/>
        </w:rPr>
      </w:r>
    </w:p>
    <w:p w:rsidR="00000000" w:rsidDel="00000000" w:rsidP="00000000" w:rsidRDefault="00000000" w:rsidRPr="00000000" w14:paraId="0000002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patient's platelet count requires a workup for the heart rhythm, in a 69-year-old male with thrombocytopenic disorder, irregular heartbeat, and recent labs showing platelet count of 122,000–141,000/μL. Assuming the patient is not acutely ill and the question is about the relationship between thrombocytopenia and arrhythmia evaluation.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3">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24">
      <w:pPr>
        <w:numPr>
          <w:ilvl w:val="0"/>
          <w:numId w:val="5"/>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A platelet count of 122,000–141,000/μL does not itself require a workup for heart rhythm abnormalities.</w:t>
      </w:r>
      <w:r w:rsidDel="00000000" w:rsidR="00000000" w:rsidRPr="00000000">
        <w:rPr>
          <w:color w:val="232323"/>
          <w:sz w:val="24"/>
          <w:szCs w:val="24"/>
          <w:rtl w:val="0"/>
        </w:rPr>
        <w:t xml:space="preserve"> Thrombocytopenia and arrhythmia should be evaluated independently unless there are clinical features suggesting a shared etiology (e.g., acute illness, drug-induced, systemic disease)</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[1]</w:t>
        </w:r>
      </w:hyperlink>
      <w:hyperlink r:id="rId4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5">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Immediate management: Evaluate thrombocytopenia per standard protocols; arrhythmia workup should be based on symptoms, ECG findings, and risk factors, not platelet count alone</w:t>
      </w:r>
      <w:hyperlink r:id="rId42">
        <w:r w:rsidDel="00000000" w:rsidR="00000000" w:rsidRPr="00000000">
          <w:rPr>
            <w:color w:val="232323"/>
            <w:sz w:val="24"/>
            <w:szCs w:val="24"/>
            <w:rtl w:val="0"/>
          </w:rPr>
          <w:t xml:space="preserve"> </w:t>
        </w:r>
      </w:hyperlink>
      <w:hyperlink r:id="rId43">
        <w:r w:rsidDel="00000000" w:rsidR="00000000" w:rsidRPr="00000000">
          <w:rPr>
            <w:color w:val="0074b9"/>
            <w:sz w:val="24"/>
            <w:szCs w:val="24"/>
            <w:rtl w:val="0"/>
          </w:rPr>
          <w:t xml:space="preserve">[1]</w:t>
        </w:r>
      </w:hyperlink>
      <w:hyperlink r:id="rId4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6">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7">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Key Points about your patient</w:t>
      </w:r>
    </w:p>
    <w:p w:rsidR="00000000" w:rsidDel="00000000" w:rsidP="00000000" w:rsidRDefault="00000000" w:rsidRPr="00000000" w14:paraId="00000028">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Platelet count 122,000–141,000/μL</w:t>
      </w:r>
      <w:r w:rsidDel="00000000" w:rsidR="00000000" w:rsidRPr="00000000">
        <w:rPr>
          <w:color w:val="232323"/>
          <w:sz w:val="24"/>
          <w:szCs w:val="24"/>
          <w:rtl w:val="0"/>
        </w:rPr>
        <w:t xml:space="preserve"> -&gt; Mild thrombocytopenia; does not directly trigger arrhythmia workup</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9">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Thrombocytopenic disorder and irregular heartbeat</w:t>
      </w:r>
      <w:r w:rsidDel="00000000" w:rsidR="00000000" w:rsidRPr="00000000">
        <w:rPr>
          <w:color w:val="232323"/>
          <w:sz w:val="24"/>
          <w:szCs w:val="24"/>
          <w:rtl w:val="0"/>
        </w:rPr>
        <w:t xml:space="preserve"> -&gt; Consider systemic causes (e.g., infection, autoimmune, drug-induced) if new or severe; otherwise, evaluate each separately</w:t>
      </w:r>
      <w:hyperlink r:id="rId47">
        <w:r w:rsidDel="00000000" w:rsidR="00000000" w:rsidRPr="00000000">
          <w:rPr>
            <w:color w:val="232323"/>
            <w:sz w:val="24"/>
            <w:szCs w:val="24"/>
            <w:rtl w:val="0"/>
          </w:rPr>
          <w:t xml:space="preserve"> </w:t>
        </w:r>
      </w:hyperlink>
      <w:hyperlink r:id="rId48">
        <w:r w:rsidDel="00000000" w:rsidR="00000000" w:rsidRPr="00000000">
          <w:rPr>
            <w:color w:val="0074b9"/>
            <w:sz w:val="24"/>
            <w:szCs w:val="24"/>
            <w:rtl w:val="0"/>
          </w:rPr>
          <w:t xml:space="preserve">[1]</w:t>
        </w:r>
      </w:hyperlink>
      <w:hyperlink r:id="rId4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No acute illness or bleeding reported</w:t>
      </w:r>
      <w:r w:rsidDel="00000000" w:rsidR="00000000" w:rsidRPr="00000000">
        <w:rPr>
          <w:color w:val="232323"/>
          <w:sz w:val="24"/>
          <w:szCs w:val="24"/>
          <w:rtl w:val="0"/>
        </w:rPr>
        <w:t xml:space="preserve"> -&gt; No urgent hematology or arrhythmia intervention required</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[1]</w:t>
        </w:r>
      </w:hyperlink>
      <w:hyperlink r:id="rId5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Current medications (magnesium, potassium, B12, omeprazole)</w:t>
      </w:r>
      <w:r w:rsidDel="00000000" w:rsidR="00000000" w:rsidRPr="00000000">
        <w:rPr>
          <w:color w:val="232323"/>
          <w:sz w:val="24"/>
          <w:szCs w:val="24"/>
          <w:rtl w:val="0"/>
        </w:rPr>
        <w:t xml:space="preserve"> -&gt; Review for drug-induced thrombocytopenia and arrhythmia risk</w:t>
      </w:r>
      <w:hyperlink r:id="rId53">
        <w:r w:rsidDel="00000000" w:rsidR="00000000" w:rsidRPr="00000000">
          <w:rPr>
            <w:color w:val="232323"/>
            <w:sz w:val="24"/>
            <w:szCs w:val="24"/>
            <w:rtl w:val="0"/>
          </w:rPr>
          <w:t xml:space="preserve"> </w:t>
        </w:r>
      </w:hyperlink>
      <w:hyperlink r:id="rId5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C">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D">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2E">
      <w:pPr>
        <w:shd w:fill="ffffff" w:val="clear"/>
        <w:spacing w:before="220" w:line="390" w:lineRule="auto"/>
        <w:rPr>
          <w:color w:val="232323"/>
          <w:sz w:val="24"/>
          <w:szCs w:val="24"/>
        </w:rPr>
      </w:pPr>
      <w:r w:rsidDel="00000000" w:rsidR="00000000" w:rsidRPr="00000000">
        <w:rPr>
          <w:color w:val="232323"/>
          <w:sz w:val="24"/>
          <w:szCs w:val="24"/>
          <w:rtl w:val="0"/>
        </w:rPr>
        <w:t xml:space="preserve">Platelet count abnormalities do not directly cause arrhythmias; workup for arrhythmia is based on symptoms, ECG, and risk factors, not platelet count </w:t>
      </w:r>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F">
      <w:pPr>
        <w:rPr>
          <w:b w:val="1"/>
          <w:bCs w:val="1"/>
          <w:color w:val="232323"/>
          <w:sz w:val="24"/>
          <w:szCs w:val="24"/>
        </w:rPr>
      </w:pPr>
      <w:r w:rsidDel="00000000" w:rsidR="00000000" w:rsidRPr="00000000">
        <w:rPr>
          <w:rtl w:val="0"/>
        </w:rPr>
      </w:r>
    </w:p>
    <w:p w:rsidR="00000000" w:rsidDel="00000000" w:rsidP="00000000" w:rsidRDefault="00000000" w:rsidRPr="00000000" w14:paraId="00000030">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3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2">
      <w:pPr>
        <w:numPr>
          <w:ilvl w:val="0"/>
          <w:numId w:val="10"/>
        </w:numPr>
        <w:shd w:fill="ffffff" w:val="clear"/>
        <w:spacing w:after="0" w:afterAutospacing="0" w:before="220" w:line="390" w:lineRule="auto"/>
        <w:ind w:left="720" w:hanging="360"/>
      </w:pPr>
      <w:hyperlink r:id="rId57">
        <w:r w:rsidDel="00000000" w:rsidR="00000000" w:rsidRPr="00000000">
          <w:rPr>
            <w:color w:val="0074b9"/>
            <w:sz w:val="24"/>
            <w:szCs w:val="24"/>
            <w:rtl w:val="0"/>
          </w:rPr>
          <w:t xml:space="preserve">What if the patient has severe thrombocytopenia or bleeding?</w:t>
        </w:r>
      </w:hyperlink>
      <w:r w:rsidDel="00000000" w:rsidR="00000000" w:rsidRPr="00000000">
        <w:rPr>
          <w:rtl w:val="0"/>
        </w:rPr>
      </w:r>
    </w:p>
    <w:p w:rsidR="00000000" w:rsidDel="00000000" w:rsidP="00000000" w:rsidRDefault="00000000" w:rsidRPr="00000000" w14:paraId="00000033">
      <w:pPr>
        <w:numPr>
          <w:ilvl w:val="0"/>
          <w:numId w:val="10"/>
        </w:numPr>
        <w:shd w:fill="ffffff" w:val="clear"/>
        <w:spacing w:after="0" w:afterAutospacing="0" w:before="0" w:beforeAutospacing="0" w:line="390" w:lineRule="auto"/>
        <w:ind w:left="720" w:hanging="360"/>
      </w:pPr>
      <w:hyperlink r:id="rId58">
        <w:r w:rsidDel="00000000" w:rsidR="00000000" w:rsidRPr="00000000">
          <w:rPr>
            <w:color w:val="0074b9"/>
            <w:sz w:val="24"/>
            <w:szCs w:val="24"/>
            <w:rtl w:val="0"/>
          </w:rPr>
          <w:t xml:space="preserve">What if the arrhythmia is new or symptomatic?</w:t>
        </w:r>
      </w:hyperlink>
      <w:r w:rsidDel="00000000" w:rsidR="00000000" w:rsidRPr="00000000">
        <w:rPr>
          <w:rtl w:val="0"/>
        </w:rPr>
      </w:r>
    </w:p>
    <w:p w:rsidR="00000000" w:rsidDel="00000000" w:rsidP="00000000" w:rsidRDefault="00000000" w:rsidRPr="00000000" w14:paraId="00000034">
      <w:pPr>
        <w:numPr>
          <w:ilvl w:val="0"/>
          <w:numId w:val="10"/>
        </w:numPr>
        <w:shd w:fill="ffffff" w:val="clear"/>
        <w:spacing w:after="0" w:afterAutospacing="0" w:before="0" w:beforeAutospacing="0" w:line="390" w:lineRule="auto"/>
        <w:ind w:left="720" w:hanging="360"/>
      </w:pPr>
      <w:hyperlink r:id="rId59">
        <w:r w:rsidDel="00000000" w:rsidR="00000000" w:rsidRPr="00000000">
          <w:rPr>
            <w:color w:val="0074b9"/>
            <w:sz w:val="24"/>
            <w:szCs w:val="24"/>
            <w:rtl w:val="0"/>
          </w:rPr>
          <w:t xml:space="preserve">What if there are other cytopenias or abnormal labs?</w:t>
        </w:r>
      </w:hyperlink>
      <w:r w:rsidDel="00000000" w:rsidR="00000000" w:rsidRPr="00000000">
        <w:rPr>
          <w:rtl w:val="0"/>
        </w:rPr>
      </w:r>
    </w:p>
    <w:p w:rsidR="00000000" w:rsidDel="00000000" w:rsidP="00000000" w:rsidRDefault="00000000" w:rsidRPr="00000000" w14:paraId="00000035">
      <w:pPr>
        <w:numPr>
          <w:ilvl w:val="0"/>
          <w:numId w:val="10"/>
        </w:numPr>
        <w:shd w:fill="ffffff" w:val="clear"/>
        <w:spacing w:after="0" w:afterAutospacing="0" w:before="0" w:beforeAutospacing="0" w:line="390" w:lineRule="auto"/>
        <w:ind w:left="720" w:hanging="360"/>
      </w:pPr>
      <w:hyperlink r:id="rId60">
        <w:r w:rsidDel="00000000" w:rsidR="00000000" w:rsidRPr="00000000">
          <w:rPr>
            <w:color w:val="0074b9"/>
            <w:sz w:val="24"/>
            <w:szCs w:val="24"/>
            <w:rtl w:val="0"/>
          </w:rPr>
          <w:t xml:space="preserve">What if the patient is acutely ill or hospitalized?</w:t>
        </w:r>
      </w:hyperlink>
      <w:r w:rsidDel="00000000" w:rsidR="00000000" w:rsidRPr="00000000">
        <w:rPr>
          <w:rtl w:val="0"/>
        </w:rPr>
      </w:r>
    </w:p>
    <w:p w:rsidR="00000000" w:rsidDel="00000000" w:rsidP="00000000" w:rsidRDefault="00000000" w:rsidRPr="00000000" w14:paraId="00000036">
      <w:pPr>
        <w:numPr>
          <w:ilvl w:val="0"/>
          <w:numId w:val="10"/>
        </w:numPr>
        <w:shd w:fill="ffffff" w:val="clear"/>
        <w:spacing w:before="0" w:beforeAutospacing="0" w:line="390" w:lineRule="auto"/>
        <w:ind w:left="720" w:hanging="360"/>
      </w:pPr>
      <w:hyperlink r:id="rId61">
        <w:r w:rsidDel="00000000" w:rsidR="00000000" w:rsidRPr="00000000">
          <w:rPr>
            <w:color w:val="0074b9"/>
            <w:sz w:val="24"/>
            <w:szCs w:val="24"/>
            <w:rtl w:val="0"/>
          </w:rPr>
          <w:t xml:space="preserve">What if there is suspicion for drug-induced thrombocytopenia or arrhythmia?</w:t>
        </w:r>
      </w:hyperlink>
      <w:r w:rsidDel="00000000" w:rsidR="00000000" w:rsidRPr="00000000">
        <w:rPr>
          <w:rtl w:val="0"/>
        </w:rPr>
      </w:r>
    </w:p>
    <w:p w:rsidR="00000000" w:rsidDel="00000000" w:rsidP="00000000" w:rsidRDefault="00000000" w:rsidRPr="00000000" w14:paraId="0000003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3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management after diagnosis.</w:t>
      </w:r>
    </w:p>
    <w:p w:rsidR="00000000" w:rsidDel="00000000" w:rsidP="00000000" w:rsidRDefault="00000000" w:rsidRPr="00000000" w14:paraId="00000039">
      <w:pPr>
        <w:pStyle w:val="Heading3"/>
        <w:keepNext w:val="0"/>
        <w:keepLines w:val="0"/>
        <w:shd w:fill="ffffff" w:val="clear"/>
        <w:spacing w:after="40" w:before="460" w:line="346.66666666666663" w:lineRule="auto"/>
        <w:rPr>
          <w:b w:val="1"/>
          <w:bCs w:val="1"/>
          <w:color w:val="232323"/>
          <w:sz w:val="27"/>
          <w:szCs w:val="27"/>
        </w:rPr>
      </w:pPr>
      <w:bookmarkStart w:colFirst="0" w:colLast="0" w:name="_8dgrljpwq41w"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A">
      <w:pPr>
        <w:numPr>
          <w:ilvl w:val="0"/>
          <w:numId w:val="15"/>
        </w:numPr>
        <w:shd w:fill="ffffff" w:val="clear"/>
        <w:spacing w:after="0" w:afterAutospacing="0" w:before="240" w:lineRule="auto"/>
        <w:ind w:left="720" w:hanging="360"/>
      </w:pPr>
      <w:hyperlink r:id="rId62">
        <w:r w:rsidDel="00000000" w:rsidR="00000000" w:rsidRPr="00000000">
          <w:rPr>
            <w:color w:val="0074b9"/>
            <w:sz w:val="24"/>
            <w:szCs w:val="24"/>
            <w:rtl w:val="0"/>
          </w:rPr>
          <w:t xml:space="preserve">Diagnostic approach to thrombocytopenia in adults &gt; SUMMARY AND RECOMMENDATIONS</w:t>
        </w:r>
      </w:hyperlink>
      <w:r w:rsidDel="00000000" w:rsidR="00000000" w:rsidRPr="00000000">
        <w:rPr>
          <w:rtl w:val="0"/>
        </w:rPr>
      </w:r>
    </w:p>
    <w:p w:rsidR="00000000" w:rsidDel="00000000" w:rsidP="00000000" w:rsidRDefault="00000000" w:rsidRPr="00000000" w14:paraId="0000003B">
      <w:pPr>
        <w:numPr>
          <w:ilvl w:val="0"/>
          <w:numId w:val="15"/>
        </w:numPr>
        <w:shd w:fill="ffffff" w:val="clear"/>
        <w:spacing w:before="0" w:beforeAutospacing="0" w:lineRule="auto"/>
        <w:ind w:left="720" w:hanging="360"/>
      </w:pPr>
      <w:hyperlink r:id="rId63">
        <w:r w:rsidDel="00000000" w:rsidR="00000000" w:rsidRPr="00000000">
          <w:rPr>
            <w:color w:val="0074b9"/>
            <w:sz w:val="24"/>
            <w:szCs w:val="24"/>
            <w:rtl w:val="0"/>
          </w:rPr>
          <w:t xml:space="preserve">Athletes with arrhythmias: Clinical manifestations and diagnostic evaluation &gt; DIAGNOSIS AND DIAGNOSTIC EVALUATION</w:t>
        </w:r>
      </w:hyperlink>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3ld8kif04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135</w:t>
      </w:r>
      <w:r w:rsidDel="00000000" w:rsidR="00000000" w:rsidRPr="00000000">
        <w:rPr>
          <w:rtl w:val="0"/>
        </w:rPr>
      </w:r>
    </w:p>
    <w:p w:rsidR="00000000" w:rsidDel="00000000" w:rsidP="00000000" w:rsidRDefault="00000000" w:rsidRPr="00000000" w14:paraId="0000003E">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when ambulatory ECG monitoring is preferred over a standard EKG for a 69-year-old male with irregular heartbeat, mixed hyperlipidemia, hypomagnesemia, thrombocytopenic disorder, GERD, and recent SARS-CoV-2 exposure. I am assuming the focus is on arrhythmia evaluation and symptom correlation, not acute ischemia or life-threatening symptoms.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41">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Ambulatory ECG monitoring is preferred over standard EKG when symptoms are intermittent, unexplained, or infrequent, especially for evaluation of arrhythmias, syncope, or palpitations.</w:t>
      </w:r>
    </w:p>
    <w:p w:rsidR="00000000" w:rsidDel="00000000" w:rsidP="00000000" w:rsidRDefault="00000000" w:rsidRPr="00000000" w14:paraId="00000042">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Use ambulatory ECG monitoring for </w:t>
      </w:r>
      <w:r w:rsidDel="00000000" w:rsidR="00000000" w:rsidRPr="00000000">
        <w:rPr>
          <w:b w:val="1"/>
          <w:bCs w:val="1"/>
          <w:color w:val="232323"/>
          <w:sz w:val="24"/>
          <w:szCs w:val="24"/>
          <w:rtl w:val="0"/>
        </w:rPr>
        <w:t xml:space="preserve">unexplained syncope, near syncope, episodic dizziness, or recurrent palpitations</w:t>
      </w:r>
      <w:r w:rsidDel="00000000" w:rsidR="00000000" w:rsidRPr="00000000">
        <w:rPr>
          <w:color w:val="232323"/>
          <w:sz w:val="24"/>
          <w:szCs w:val="24"/>
          <w:rtl w:val="0"/>
        </w:rPr>
        <w:t xml:space="preserve"> </w:t>
      </w:r>
      <w:hyperlink r:id="rId64">
        <w:r w:rsidDel="00000000" w:rsidR="00000000" w:rsidRPr="00000000">
          <w:rPr>
            <w:color w:val="0074b9"/>
            <w:sz w:val="24"/>
            <w:szCs w:val="24"/>
            <w:rtl w:val="0"/>
          </w:rPr>
          <w:t xml:space="preserve">[1]</w:t>
        </w:r>
      </w:hyperlink>
      <w:hyperlink r:id="rId6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3">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Choose ambulatory monitoring for </w:t>
      </w:r>
      <w:r w:rsidDel="00000000" w:rsidR="00000000" w:rsidRPr="00000000">
        <w:rPr>
          <w:b w:val="1"/>
          <w:bCs w:val="1"/>
          <w:color w:val="232323"/>
          <w:sz w:val="24"/>
          <w:szCs w:val="24"/>
          <w:rtl w:val="0"/>
        </w:rPr>
        <w:t xml:space="preserve">irregular heart beat</w:t>
      </w:r>
      <w:r w:rsidDel="00000000" w:rsidR="00000000" w:rsidRPr="00000000">
        <w:rPr>
          <w:color w:val="232323"/>
          <w:sz w:val="24"/>
          <w:szCs w:val="24"/>
          <w:rtl w:val="0"/>
        </w:rPr>
        <w:t xml:space="preserve"> when symptoms are not captured on standard EKG </w:t>
      </w:r>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4">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Holter monitoring is preferred for </w:t>
      </w:r>
      <w:r w:rsidDel="00000000" w:rsidR="00000000" w:rsidRPr="00000000">
        <w:rPr>
          <w:b w:val="1"/>
          <w:bCs w:val="1"/>
          <w:color w:val="232323"/>
          <w:sz w:val="24"/>
          <w:szCs w:val="24"/>
          <w:rtl w:val="0"/>
        </w:rPr>
        <w:t xml:space="preserve">daily or near daily symptoms</w:t>
      </w:r>
      <w:r w:rsidDel="00000000" w:rsidR="00000000" w:rsidRPr="00000000">
        <w:rPr>
          <w:color w:val="232323"/>
          <w:sz w:val="24"/>
          <w:szCs w:val="24"/>
          <w:rtl w:val="0"/>
        </w:rPr>
        <w:t xml:space="preserve">; event monitors or insertable cardiac monitors for </w:t>
      </w:r>
      <w:r w:rsidDel="00000000" w:rsidR="00000000" w:rsidRPr="00000000">
        <w:rPr>
          <w:b w:val="1"/>
          <w:bCs w:val="1"/>
          <w:color w:val="232323"/>
          <w:sz w:val="24"/>
          <w:szCs w:val="24"/>
          <w:rtl w:val="0"/>
        </w:rPr>
        <w:t xml:space="preserve">less frequent symptoms</w:t>
      </w:r>
      <w:r w:rsidDel="00000000" w:rsidR="00000000" w:rsidRPr="00000000">
        <w:rPr>
          <w:color w:val="232323"/>
          <w:sz w:val="24"/>
          <w:szCs w:val="24"/>
          <w:rtl w:val="0"/>
        </w:rPr>
        <w:t xml:space="preserve"> </w:t>
      </w:r>
      <w:hyperlink r:id="rId68">
        <w:r w:rsidDel="00000000" w:rsidR="00000000" w:rsidRPr="00000000">
          <w:rPr>
            <w:color w:val="0074b9"/>
            <w:sz w:val="24"/>
            <w:szCs w:val="24"/>
            <w:rtl w:val="0"/>
          </w:rPr>
          <w:t xml:space="preserve">[3]</w:t>
        </w:r>
      </w:hyperlink>
      <w:hyperlink r:id="rId6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Ambulatory monitoring is also used for </w:t>
      </w:r>
      <w:r w:rsidDel="00000000" w:rsidR="00000000" w:rsidRPr="00000000">
        <w:rPr>
          <w:b w:val="1"/>
          <w:bCs w:val="1"/>
          <w:color w:val="232323"/>
          <w:sz w:val="24"/>
          <w:szCs w:val="24"/>
          <w:rtl w:val="0"/>
        </w:rPr>
        <w:t xml:space="preserve">risk stratification in patients with arrhythmia, assessing therapy efficacy, and silent ischemia evaluation</w:t>
      </w:r>
      <w:r w:rsidDel="00000000" w:rsidR="00000000" w:rsidRPr="00000000">
        <w:rPr>
          <w:color w:val="232323"/>
          <w:sz w:val="24"/>
          <w:szCs w:val="24"/>
          <w:rtl w:val="0"/>
        </w:rPr>
        <w:t xml:space="preserve"> </w:t>
      </w:r>
      <w:hyperlink r:id="rId70">
        <w:r w:rsidDel="00000000" w:rsidR="00000000" w:rsidRPr="00000000">
          <w:rPr>
            <w:color w:val="0074b9"/>
            <w:sz w:val="24"/>
            <w:szCs w:val="24"/>
            <w:rtl w:val="0"/>
          </w:rPr>
          <w:t xml:space="preserve">[1]</w:t>
        </w:r>
      </w:hyperlink>
      <w:hyperlink r:id="rId7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Standard EKG is limited to a brief sample and may miss transient or intermittent arrhythmias </w:t>
      </w:r>
      <w:hyperlink r:id="rId7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hd w:fill="ffffff" w:val="clear"/>
        <w:spacing w:after="40" w:before="460" w:line="346.66666666666663" w:lineRule="auto"/>
        <w:rPr>
          <w:b w:val="1"/>
          <w:bCs w:val="1"/>
          <w:color w:val="232323"/>
          <w:sz w:val="27"/>
          <w:szCs w:val="27"/>
        </w:rPr>
      </w:pPr>
      <w:bookmarkStart w:colFirst="0" w:colLast="0" w:name="_t47ax7nbm09p" w:id="8"/>
      <w:bookmarkEnd w:id="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8">
      <w:pPr>
        <w:numPr>
          <w:ilvl w:val="0"/>
          <w:numId w:val="8"/>
        </w:numPr>
        <w:ind w:left="720" w:hanging="360"/>
        <w:rPr>
          <w:sz w:val="24"/>
          <w:szCs w:val="24"/>
        </w:rPr>
      </w:pPr>
      <w:r w:rsidDel="00000000" w:rsidR="00000000" w:rsidRPr="00000000">
        <w:rPr>
          <w:b w:val="1"/>
          <w:bCs w:val="1"/>
          <w:color w:val="232323"/>
          <w:sz w:val="24"/>
          <w:szCs w:val="24"/>
          <w:rtl w:val="0"/>
        </w:rPr>
        <w:t xml:space="preserve">Irregular heart beat</w:t>
      </w:r>
      <w:r w:rsidDel="00000000" w:rsidR="00000000" w:rsidRPr="00000000">
        <w:rPr>
          <w:color w:val="232323"/>
          <w:sz w:val="24"/>
          <w:szCs w:val="24"/>
          <w:rtl w:val="0"/>
        </w:rPr>
        <w:t xml:space="preserve"> -&gt; Ambulatory ECG monitoring increases diagnostic yield for intermittent arrhythmias</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[1]</w:t>
        </w:r>
      </w:hyperlink>
      <w:hyperlink r:id="rId7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9">
      <w:pPr>
        <w:numPr>
          <w:ilvl w:val="0"/>
          <w:numId w:val="8"/>
        </w:numPr>
        <w:ind w:left="720" w:hanging="360"/>
        <w:rPr>
          <w:sz w:val="24"/>
          <w:szCs w:val="24"/>
        </w:rPr>
      </w:pPr>
      <w:r w:rsidDel="00000000" w:rsidR="00000000" w:rsidRPr="00000000">
        <w:rPr>
          <w:b w:val="1"/>
          <w:bCs w:val="1"/>
          <w:color w:val="232323"/>
          <w:sz w:val="24"/>
          <w:szCs w:val="24"/>
          <w:rtl w:val="0"/>
        </w:rPr>
        <w:t xml:space="preserve">Age 69, male</w:t>
      </w:r>
      <w:r w:rsidDel="00000000" w:rsidR="00000000" w:rsidRPr="00000000">
        <w:rPr>
          <w:color w:val="232323"/>
          <w:sz w:val="24"/>
          <w:szCs w:val="24"/>
          <w:rtl w:val="0"/>
        </w:rPr>
        <w:t xml:space="preserve"> -&gt; Higher risk for arrhythmias; ambulatory monitoring improves detection in older adults</w:t>
      </w:r>
      <w:hyperlink r:id="rId76">
        <w:r w:rsidDel="00000000" w:rsidR="00000000" w:rsidRPr="00000000">
          <w:rPr>
            <w:color w:val="232323"/>
            <w:sz w:val="24"/>
            <w:szCs w:val="24"/>
            <w:rtl w:val="0"/>
          </w:rPr>
          <w:t xml:space="preserve"> </w:t>
        </w:r>
      </w:hyperlink>
      <w:hyperlink r:id="rId7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A">
      <w:pPr>
        <w:numPr>
          <w:ilvl w:val="0"/>
          <w:numId w:val="8"/>
        </w:numPr>
        <w:ind w:left="720" w:hanging="360"/>
        <w:rPr>
          <w:sz w:val="24"/>
          <w:szCs w:val="24"/>
        </w:rPr>
      </w:pPr>
      <w:r w:rsidDel="00000000" w:rsidR="00000000" w:rsidRPr="00000000">
        <w:rPr>
          <w:b w:val="1"/>
          <w:bCs w:val="1"/>
          <w:color w:val="232323"/>
          <w:sz w:val="24"/>
          <w:szCs w:val="24"/>
          <w:rtl w:val="0"/>
        </w:rPr>
        <w:t xml:space="preserve">Recent SARS-CoV-2 exposure</w:t>
      </w:r>
      <w:r w:rsidDel="00000000" w:rsidR="00000000" w:rsidRPr="00000000">
        <w:rPr>
          <w:color w:val="232323"/>
          <w:sz w:val="24"/>
          <w:szCs w:val="24"/>
          <w:rtl w:val="0"/>
        </w:rPr>
        <w:t xml:space="preserve"> -&gt; If arrhythmia suspected, ambulatory monitoring is indicated; continuous monitoring not required without documented arrhythmia</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B">
      <w:pPr>
        <w:numPr>
          <w:ilvl w:val="0"/>
          <w:numId w:val="8"/>
        </w:numPr>
        <w:ind w:left="720" w:hanging="360"/>
        <w:rPr>
          <w:sz w:val="24"/>
          <w:szCs w:val="24"/>
        </w:rPr>
      </w:pPr>
      <w:r w:rsidDel="00000000" w:rsidR="00000000" w:rsidRPr="00000000">
        <w:rPr>
          <w:b w:val="1"/>
          <w:bCs w:val="1"/>
          <w:color w:val="232323"/>
          <w:sz w:val="24"/>
          <w:szCs w:val="24"/>
          <w:rtl w:val="0"/>
        </w:rPr>
        <w:t xml:space="preserve">Thrombocytopenic disorder</w:t>
      </w:r>
      <w:r w:rsidDel="00000000" w:rsidR="00000000" w:rsidRPr="00000000">
        <w:rPr>
          <w:color w:val="232323"/>
          <w:sz w:val="24"/>
          <w:szCs w:val="24"/>
          <w:rtl w:val="0"/>
        </w:rPr>
        <w:t xml:space="preserve"> -&gt; No direct impact on monitoring choice, but consider bleeding risk if implantable device is used</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C">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Mixed hyperlipidemia, hypomagnesemia, GERD</w:t>
      </w:r>
      <w:r w:rsidDel="00000000" w:rsidR="00000000" w:rsidRPr="00000000">
        <w:rPr>
          <w:color w:val="232323"/>
          <w:sz w:val="24"/>
          <w:szCs w:val="24"/>
          <w:rtl w:val="0"/>
        </w:rPr>
        <w:t xml:space="preserve"> -&gt; No direct impact on monitoring choice</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D">
      <w:pPr>
        <w:pStyle w:val="Heading3"/>
        <w:keepNext w:val="0"/>
        <w:keepLines w:val="0"/>
        <w:shd w:fill="ffffff" w:val="clear"/>
        <w:spacing w:after="40" w:before="460" w:line="346.66666666666663" w:lineRule="auto"/>
        <w:rPr>
          <w:b w:val="1"/>
          <w:bCs w:val="1"/>
          <w:color w:val="232323"/>
          <w:sz w:val="27"/>
          <w:szCs w:val="27"/>
        </w:rPr>
      </w:pPr>
      <w:bookmarkStart w:colFirst="0" w:colLast="0" w:name="_p0e442mmo10v" w:id="9"/>
      <w:bookmarkEnd w:id="9"/>
      <w:r w:rsidDel="00000000" w:rsidR="00000000" w:rsidRPr="00000000">
        <w:rPr>
          <w:b w:val="1"/>
          <w:bCs w:val="1"/>
          <w:color w:val="232323"/>
          <w:sz w:val="27"/>
          <w:szCs w:val="27"/>
          <w:rtl w:val="0"/>
        </w:rPr>
        <w:t xml:space="preserve">Rationale</w:t>
      </w:r>
    </w:p>
    <w:p w:rsidR="00000000" w:rsidDel="00000000" w:rsidP="00000000" w:rsidRDefault="00000000" w:rsidRPr="00000000" w14:paraId="0000004E">
      <w:pPr>
        <w:shd w:fill="ffffff" w:val="clear"/>
        <w:spacing w:line="390" w:lineRule="auto"/>
        <w:rPr>
          <w:color w:val="232323"/>
          <w:sz w:val="24"/>
          <w:szCs w:val="24"/>
        </w:rPr>
      </w:pPr>
      <w:r w:rsidDel="00000000" w:rsidR="00000000" w:rsidRPr="00000000">
        <w:rPr>
          <w:color w:val="232323"/>
          <w:sz w:val="24"/>
          <w:szCs w:val="24"/>
          <w:rtl w:val="0"/>
        </w:rPr>
        <w:t xml:space="preserve">Intermittent arrhythmias and symptoms (palpitations, syncope) are often missed by standard EKG; ambulatory monitoring provides extended data and symptom correlation</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[1]</w:t>
        </w:r>
      </w:hyperlink>
      <w:hyperlink r:id="rId8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9pi5l9naqcpe"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1">
      <w:pPr>
        <w:numPr>
          <w:ilvl w:val="0"/>
          <w:numId w:val="6"/>
        </w:numPr>
        <w:shd w:fill="ffffff" w:val="clear"/>
        <w:spacing w:after="0" w:afterAutospacing="0" w:before="220" w:line="390" w:lineRule="auto"/>
        <w:ind w:left="720" w:hanging="360"/>
      </w:pPr>
      <w:hyperlink r:id="rId87">
        <w:r w:rsidDel="00000000" w:rsidR="00000000" w:rsidRPr="00000000">
          <w:rPr>
            <w:color w:val="0074b9"/>
            <w:sz w:val="24"/>
            <w:szCs w:val="24"/>
            <w:rtl w:val="0"/>
          </w:rPr>
          <w:t xml:space="preserve">Which ambulatory monitor type is best for this patient’s symptom frequency?</w:t>
        </w:r>
      </w:hyperlink>
      <w:r w:rsidDel="00000000" w:rsidR="00000000" w:rsidRPr="00000000">
        <w:rPr>
          <w:rtl w:val="0"/>
        </w:rPr>
      </w:r>
    </w:p>
    <w:p w:rsidR="00000000" w:rsidDel="00000000" w:rsidP="00000000" w:rsidRDefault="00000000" w:rsidRPr="00000000" w14:paraId="00000052">
      <w:pPr>
        <w:numPr>
          <w:ilvl w:val="0"/>
          <w:numId w:val="6"/>
        </w:numPr>
        <w:shd w:fill="ffffff" w:val="clear"/>
        <w:spacing w:after="0" w:afterAutospacing="0" w:before="0" w:beforeAutospacing="0" w:line="390" w:lineRule="auto"/>
        <w:ind w:left="720" w:hanging="360"/>
      </w:pPr>
      <w:hyperlink r:id="rId88">
        <w:r w:rsidDel="00000000" w:rsidR="00000000" w:rsidRPr="00000000">
          <w:rPr>
            <w:color w:val="0074b9"/>
            <w:sz w:val="24"/>
            <w:szCs w:val="24"/>
            <w:rtl w:val="0"/>
          </w:rPr>
          <w:t xml:space="preserve">How do you correlate symptoms with arrhythmia findings on ambulatory monitoring?</w:t>
        </w:r>
      </w:hyperlink>
      <w:r w:rsidDel="00000000" w:rsidR="00000000" w:rsidRPr="00000000">
        <w:rPr>
          <w:rtl w:val="0"/>
        </w:rPr>
      </w:r>
    </w:p>
    <w:p w:rsidR="00000000" w:rsidDel="00000000" w:rsidP="00000000" w:rsidRDefault="00000000" w:rsidRPr="00000000" w14:paraId="00000053">
      <w:pPr>
        <w:numPr>
          <w:ilvl w:val="0"/>
          <w:numId w:val="6"/>
        </w:numPr>
        <w:shd w:fill="ffffff" w:val="clear"/>
        <w:spacing w:after="0" w:afterAutospacing="0" w:before="0" w:beforeAutospacing="0" w:line="390" w:lineRule="auto"/>
        <w:ind w:left="720" w:hanging="360"/>
      </w:pPr>
      <w:hyperlink r:id="rId89">
        <w:r w:rsidDel="00000000" w:rsidR="00000000" w:rsidRPr="00000000">
          <w:rPr>
            <w:color w:val="0074b9"/>
            <w:sz w:val="24"/>
            <w:szCs w:val="24"/>
            <w:rtl w:val="0"/>
          </w:rPr>
          <w:t xml:space="preserve">What are the limitations of ambulatory ECG monitoring in older adults?</w:t>
        </w:r>
      </w:hyperlink>
      <w:r w:rsidDel="00000000" w:rsidR="00000000" w:rsidRPr="00000000">
        <w:rPr>
          <w:rtl w:val="0"/>
        </w:rPr>
      </w:r>
    </w:p>
    <w:p w:rsidR="00000000" w:rsidDel="00000000" w:rsidP="00000000" w:rsidRDefault="00000000" w:rsidRPr="00000000" w14:paraId="00000054">
      <w:pPr>
        <w:numPr>
          <w:ilvl w:val="0"/>
          <w:numId w:val="6"/>
        </w:numPr>
        <w:shd w:fill="ffffff" w:val="clear"/>
        <w:spacing w:after="0" w:afterAutospacing="0" w:before="0" w:beforeAutospacing="0" w:line="390" w:lineRule="auto"/>
        <w:ind w:left="720" w:hanging="360"/>
      </w:pPr>
      <w:hyperlink r:id="rId90">
        <w:r w:rsidDel="00000000" w:rsidR="00000000" w:rsidRPr="00000000">
          <w:rPr>
            <w:color w:val="0074b9"/>
            <w:sz w:val="24"/>
            <w:szCs w:val="24"/>
            <w:rtl w:val="0"/>
          </w:rPr>
          <w:t xml:space="preserve">When is in-hospital telemetry preferred over ambulatory monitoring?</w:t>
        </w:r>
      </w:hyperlink>
      <w:r w:rsidDel="00000000" w:rsidR="00000000" w:rsidRPr="00000000">
        <w:rPr>
          <w:rtl w:val="0"/>
        </w:rPr>
      </w:r>
    </w:p>
    <w:p w:rsidR="00000000" w:rsidDel="00000000" w:rsidP="00000000" w:rsidRDefault="00000000" w:rsidRPr="00000000" w14:paraId="00000055">
      <w:pPr>
        <w:numPr>
          <w:ilvl w:val="0"/>
          <w:numId w:val="6"/>
        </w:numPr>
        <w:shd w:fill="ffffff" w:val="clear"/>
        <w:spacing w:after="0" w:afterAutospacing="0" w:before="0" w:beforeAutospacing="0" w:line="390" w:lineRule="auto"/>
        <w:ind w:left="720" w:hanging="360"/>
      </w:pPr>
      <w:hyperlink r:id="rId91">
        <w:r w:rsidDel="00000000" w:rsidR="00000000" w:rsidRPr="00000000">
          <w:rPr>
            <w:color w:val="0074b9"/>
            <w:sz w:val="24"/>
            <w:szCs w:val="24"/>
            <w:rtl w:val="0"/>
          </w:rPr>
          <w:t xml:space="preserve">How do comorbidities affect ambulatory ECG monitoring choice?</w:t>
        </w:r>
      </w:hyperlink>
      <w:r w:rsidDel="00000000" w:rsidR="00000000" w:rsidRPr="00000000">
        <w:rPr>
          <w:rtl w:val="0"/>
        </w:rPr>
      </w:r>
    </w:p>
    <w:p w:rsidR="00000000" w:rsidDel="00000000" w:rsidP="00000000" w:rsidRDefault="00000000" w:rsidRPr="00000000" w14:paraId="00000056">
      <w:pPr>
        <w:numPr>
          <w:ilvl w:val="0"/>
          <w:numId w:val="6"/>
        </w:numPr>
        <w:shd w:fill="ffffff" w:val="clear"/>
        <w:spacing w:after="0" w:afterAutospacing="0" w:before="0" w:beforeAutospacing="0" w:line="390" w:lineRule="auto"/>
        <w:ind w:left="720" w:hanging="360"/>
      </w:pPr>
      <w:hyperlink r:id="rId92">
        <w:r w:rsidDel="00000000" w:rsidR="00000000" w:rsidRPr="00000000">
          <w:rPr>
            <w:color w:val="0074b9"/>
            <w:sz w:val="24"/>
            <w:szCs w:val="24"/>
            <w:rtl w:val="0"/>
          </w:rPr>
          <w:t xml:space="preserve">What is the role of ambulatory monitoring in post-COVID arrhythmia evaluation?</w:t>
        </w:r>
      </w:hyperlink>
      <w:r w:rsidDel="00000000" w:rsidR="00000000" w:rsidRPr="00000000">
        <w:rPr>
          <w:rtl w:val="0"/>
        </w:rPr>
      </w:r>
    </w:p>
    <w:p w:rsidR="00000000" w:rsidDel="00000000" w:rsidP="00000000" w:rsidRDefault="00000000" w:rsidRPr="00000000" w14:paraId="00000057">
      <w:pPr>
        <w:numPr>
          <w:ilvl w:val="0"/>
          <w:numId w:val="6"/>
        </w:numPr>
        <w:shd w:fill="ffffff" w:val="clear"/>
        <w:spacing w:before="0" w:beforeAutospacing="0" w:line="390" w:lineRule="auto"/>
        <w:ind w:left="720" w:hanging="360"/>
      </w:pPr>
      <w:hyperlink r:id="rId93">
        <w:r w:rsidDel="00000000" w:rsidR="00000000" w:rsidRPr="00000000">
          <w:rPr>
            <w:color w:val="0074b9"/>
            <w:sz w:val="24"/>
            <w:szCs w:val="24"/>
            <w:rtl w:val="0"/>
          </w:rPr>
          <w:t xml:space="preserve">What if the patient has daily versus monthly symptoms?</w:t>
        </w:r>
      </w:hyperlink>
      <w:r w:rsidDel="00000000" w:rsidR="00000000" w:rsidRPr="00000000">
        <w:rPr>
          <w:rtl w:val="0"/>
        </w:rPr>
      </w:r>
    </w:p>
    <w:p w:rsidR="00000000" w:rsidDel="00000000" w:rsidP="00000000" w:rsidRDefault="00000000" w:rsidRPr="00000000" w14:paraId="00000058">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symptom frequency, comorbidities, or other special considerations.</w:t>
      </w:r>
    </w:p>
    <w:p w:rsidR="00000000" w:rsidDel="00000000" w:rsidP="00000000" w:rsidRDefault="00000000" w:rsidRPr="00000000" w14:paraId="0000005A">
      <w:pPr>
        <w:pStyle w:val="Heading3"/>
        <w:keepNext w:val="0"/>
        <w:keepLines w:val="0"/>
        <w:shd w:fill="ffffff" w:val="clear"/>
        <w:spacing w:after="40" w:before="460" w:line="346.66666666666663" w:lineRule="auto"/>
        <w:rPr>
          <w:b w:val="1"/>
          <w:bCs w:val="1"/>
          <w:color w:val="232323"/>
          <w:sz w:val="27"/>
          <w:szCs w:val="27"/>
        </w:rPr>
      </w:pPr>
      <w:bookmarkStart w:colFirst="0" w:colLast="0" w:name="_aq6seq8ac3zt"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B">
      <w:pPr>
        <w:numPr>
          <w:ilvl w:val="0"/>
          <w:numId w:val="13"/>
        </w:numPr>
        <w:shd w:fill="ffffff" w:val="clear"/>
        <w:spacing w:after="0" w:afterAutospacing="0" w:before="240" w:lineRule="auto"/>
        <w:ind w:left="720" w:hanging="360"/>
      </w:pPr>
      <w:hyperlink r:id="rId94">
        <w:r w:rsidDel="00000000" w:rsidR="00000000" w:rsidRPr="00000000">
          <w:rPr>
            <w:color w:val="0074b9"/>
            <w:sz w:val="24"/>
            <w:szCs w:val="24"/>
            <w:rtl w:val="0"/>
          </w:rPr>
          <w:t xml:space="preserve">Ambulatory ECG monitoring &gt; INDICATIONS</w:t>
        </w:r>
      </w:hyperlink>
      <w:r w:rsidDel="00000000" w:rsidR="00000000" w:rsidRPr="00000000">
        <w:rPr>
          <w:rtl w:val="0"/>
        </w:rPr>
      </w:r>
    </w:p>
    <w:p w:rsidR="00000000" w:rsidDel="00000000" w:rsidP="00000000" w:rsidRDefault="00000000" w:rsidRPr="00000000" w14:paraId="0000005C">
      <w:pPr>
        <w:numPr>
          <w:ilvl w:val="0"/>
          <w:numId w:val="13"/>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Ambulatory ECG monitoring &gt; SUMMARY AND RECOMMENDATIONS</w:t>
        </w:r>
      </w:hyperlink>
      <w:r w:rsidDel="00000000" w:rsidR="00000000" w:rsidRPr="00000000">
        <w:rPr>
          <w:rtl w:val="0"/>
        </w:rPr>
      </w:r>
    </w:p>
    <w:p w:rsidR="00000000" w:rsidDel="00000000" w:rsidP="00000000" w:rsidRDefault="00000000" w:rsidRPr="00000000" w14:paraId="0000005D">
      <w:pPr>
        <w:numPr>
          <w:ilvl w:val="0"/>
          <w:numId w:val="13"/>
        </w:numPr>
        <w:shd w:fill="ffffff" w:val="clear"/>
        <w:spacing w:after="0" w:afterAutospacing="0" w:before="0" w:beforeAutospacing="0" w:lineRule="auto"/>
        <w:ind w:left="720" w:hanging="360"/>
      </w:pPr>
      <w:hyperlink r:id="rId96">
        <w:r w:rsidDel="00000000" w:rsidR="00000000" w:rsidRPr="00000000">
          <w:rPr>
            <w:color w:val="0074b9"/>
            <w:sz w:val="24"/>
            <w:szCs w:val="24"/>
            <w:rtl w:val="0"/>
          </w:rPr>
          <w:t xml:space="preserve">Ambulatory ECG monitoring &gt; OUR APPROACH TO CHOOSING AN AMBULATORY ECG MONITORING STRATEGY &gt; When to choose continuous ECG (Holter) monitoring</w:t>
        </w:r>
      </w:hyperlink>
      <w:r w:rsidDel="00000000" w:rsidR="00000000" w:rsidRPr="00000000">
        <w:rPr>
          <w:rtl w:val="0"/>
        </w:rPr>
      </w:r>
    </w:p>
    <w:p w:rsidR="00000000" w:rsidDel="00000000" w:rsidP="00000000" w:rsidRDefault="00000000" w:rsidRPr="00000000" w14:paraId="0000005E">
      <w:pPr>
        <w:numPr>
          <w:ilvl w:val="0"/>
          <w:numId w:val="13"/>
        </w:numPr>
        <w:shd w:fill="ffffff" w:val="clear"/>
        <w:spacing w:after="0" w:afterAutospacing="0" w:before="0" w:beforeAutospacing="0" w:lineRule="auto"/>
        <w:ind w:left="720" w:hanging="360"/>
      </w:pPr>
      <w:hyperlink r:id="rId97">
        <w:r w:rsidDel="00000000" w:rsidR="00000000" w:rsidRPr="00000000">
          <w:rPr>
            <w:color w:val="0074b9"/>
            <w:sz w:val="24"/>
            <w:szCs w:val="24"/>
            <w:rtl w:val="0"/>
          </w:rPr>
          <w:t xml:space="preserve">Ambulatory ECG monitoring &gt; OUR APPROACH TO CHOOSING AN AMBULATORY ECG MONITORING STRATEGY &gt; When to choose event monitoring</w:t>
        </w:r>
      </w:hyperlink>
      <w:r w:rsidDel="00000000" w:rsidR="00000000" w:rsidRPr="00000000">
        <w:rPr>
          <w:rtl w:val="0"/>
        </w:rPr>
      </w:r>
    </w:p>
    <w:p w:rsidR="00000000" w:rsidDel="00000000" w:rsidP="00000000" w:rsidRDefault="00000000" w:rsidRPr="00000000" w14:paraId="0000005F">
      <w:pPr>
        <w:numPr>
          <w:ilvl w:val="0"/>
          <w:numId w:val="13"/>
        </w:numPr>
        <w:shd w:fill="ffffff" w:val="clear"/>
        <w:spacing w:after="0" w:afterAutospacing="0" w:before="0" w:beforeAutospacing="0" w:lineRule="auto"/>
        <w:ind w:left="720" w:hanging="360"/>
      </w:pPr>
      <w:hyperlink r:id="rId98">
        <w:r w:rsidDel="00000000" w:rsidR="00000000" w:rsidRPr="00000000">
          <w:rPr>
            <w:color w:val="0074b9"/>
            <w:sz w:val="24"/>
            <w:szCs w:val="24"/>
            <w:rtl w:val="0"/>
          </w:rPr>
          <w:t xml:space="preserve">Evaluation of palpitations in adults &gt; ADDITIONAL TESTING IN SELECTED PATIENTS &gt; Patients at high risk for concerning arrhythmias &gt; Selection of ambulatory cardiac rhythm monitoring</w:t>
        </w:r>
      </w:hyperlink>
      <w:r w:rsidDel="00000000" w:rsidR="00000000" w:rsidRPr="00000000">
        <w:rPr>
          <w:rtl w:val="0"/>
        </w:rPr>
      </w:r>
    </w:p>
    <w:p w:rsidR="00000000" w:rsidDel="00000000" w:rsidP="00000000" w:rsidRDefault="00000000" w:rsidRPr="00000000" w14:paraId="00000060">
      <w:pPr>
        <w:numPr>
          <w:ilvl w:val="0"/>
          <w:numId w:val="13"/>
        </w:numPr>
        <w:shd w:fill="ffffff" w:val="clear"/>
        <w:spacing w:before="0" w:beforeAutospacing="0" w:lineRule="auto"/>
        <w:ind w:left="720" w:hanging="360"/>
      </w:pPr>
      <w:hyperlink r:id="rId99">
        <w:r w:rsidDel="00000000" w:rsidR="00000000" w:rsidRPr="00000000">
          <w:rPr>
            <w:color w:val="0074b9"/>
            <w:sz w:val="24"/>
            <w:szCs w:val="24"/>
            <w:rtl w:val="0"/>
          </w:rPr>
          <w:t xml:space="preserve">COVID-19: Arrhythmias and conduction system disease &gt; EVALUATION &gt; Cardiovascular testing &gt; Continuous ECG monitoring</w:t>
        </w:r>
      </w:hyperlink>
      <w:r w:rsidDel="00000000" w:rsidR="00000000" w:rsidRPr="00000000">
        <w:rPr>
          <w:rtl w:val="0"/>
        </w:rPr>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47hpks6wyp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136</w:t>
      </w:r>
      <w:r w:rsidDel="00000000" w:rsidR="00000000" w:rsidRPr="00000000">
        <w:rPr>
          <w:rtl w:val="0"/>
        </w:rPr>
      </w:r>
    </w:p>
    <w:p w:rsidR="00000000" w:rsidDel="00000000" w:rsidP="00000000" w:rsidRDefault="00000000" w:rsidRPr="00000000" w14:paraId="00000063">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long-term fracture risks associated with daily</w:t>
      </w:r>
      <w:hyperlink r:id="rId100">
        <w:r w:rsidDel="00000000" w:rsidR="00000000" w:rsidRPr="00000000">
          <w:rPr>
            <w:color w:val="232323"/>
            <w:sz w:val="24"/>
            <w:szCs w:val="24"/>
            <w:rtl w:val="0"/>
          </w:rPr>
          <w:t xml:space="preserve"> </w:t>
        </w:r>
      </w:hyperlink>
      <w:hyperlink r:id="rId101">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use in a 69-year-old male with GERD, hypomagnesemia, mixed hyperlipidemia, thrombocytopenic disorder, and irregular heart beat. Patient is on daily</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(PriLOSEC OTC), magnesium, potassium, and B12. No history of osteoporosis or prior fracture is provided.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6">
      <w:pPr>
        <w:shd w:fill="ffffff" w:val="clear"/>
        <w:spacing w:line="390" w:lineRule="auto"/>
        <w:rPr>
          <w:color w:val="0074b9"/>
          <w:sz w:val="24"/>
          <w:szCs w:val="24"/>
        </w:rPr>
      </w:pPr>
      <w:r w:rsidDel="00000000" w:rsidR="00000000" w:rsidRPr="00000000">
        <w:rPr>
          <w:b w:val="1"/>
          <w:bCs w:val="1"/>
          <w:color w:val="232323"/>
          <w:sz w:val="24"/>
          <w:szCs w:val="24"/>
          <w:rtl w:val="0"/>
        </w:rPr>
        <w:t xml:space="preserve">Long-term daily</w:t>
      </w:r>
      <w:hyperlink r:id="rId104">
        <w:r w:rsidDel="00000000" w:rsidR="00000000" w:rsidRPr="00000000">
          <w:rPr>
            <w:b w:val="1"/>
            <w:bCs w:val="1"/>
            <w:color w:val="232323"/>
            <w:sz w:val="24"/>
            <w:szCs w:val="24"/>
            <w:rtl w:val="0"/>
          </w:rPr>
          <w:t xml:space="preserve"> </w:t>
        </w:r>
      </w:hyperlink>
      <w:hyperlink r:id="rId105">
        <w:r w:rsidDel="00000000" w:rsidR="00000000" w:rsidRPr="00000000">
          <w:rPr>
            <w:b w:val="1"/>
            <w:bCs w:val="1"/>
            <w:color w:val="0074b9"/>
            <w:sz w:val="24"/>
            <w:szCs w:val="24"/>
            <w:rtl w:val="0"/>
          </w:rPr>
          <w:t xml:space="preserve">omeprazole</w:t>
        </w:r>
      </w:hyperlink>
      <w:r w:rsidDel="00000000" w:rsidR="00000000" w:rsidRPr="00000000">
        <w:rPr>
          <w:b w:val="1"/>
          <w:bCs w:val="1"/>
          <w:color w:val="232323"/>
          <w:sz w:val="24"/>
          <w:szCs w:val="24"/>
          <w:rtl w:val="0"/>
        </w:rPr>
        <w:t xml:space="preserve"> use is associated with a modestly increased risk of hip, spine, and any-site fractures, especially in older adults and those with additional risk factors.</w:t>
      </w:r>
      <w:hyperlink r:id="rId106">
        <w:r w:rsidDel="00000000" w:rsidR="00000000" w:rsidRPr="00000000">
          <w:rPr>
            <w:color w:val="232323"/>
            <w:sz w:val="24"/>
            <w:szCs w:val="24"/>
            <w:rtl w:val="0"/>
          </w:rPr>
          <w:t xml:space="preserve"> </w:t>
        </w:r>
      </w:hyperlink>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[2]</w:t>
        </w:r>
      </w:hyperlink>
      <w:hyperlink r:id="rId109">
        <w:r w:rsidDel="00000000" w:rsidR="00000000" w:rsidRPr="00000000">
          <w:rPr>
            <w:color w:val="0074b9"/>
            <w:sz w:val="24"/>
            <w:szCs w:val="24"/>
            <w:rtl w:val="0"/>
          </w:rPr>
          <w:t xml:space="preserve">[3]</w:t>
        </w:r>
      </w:hyperlink>
      <w:hyperlink r:id="rId110">
        <w:r w:rsidDel="00000000" w:rsidR="00000000" w:rsidRPr="00000000">
          <w:rPr>
            <w:color w:val="0074b9"/>
            <w:sz w:val="24"/>
            <w:szCs w:val="24"/>
            <w:rtl w:val="0"/>
          </w:rPr>
          <w:t xml:space="preserve">[4]</w:t>
        </w:r>
      </w:hyperlink>
      <w:hyperlink r:id="rId111">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67">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Fracture risk is highest with long-term, high-dose </w:t>
      </w:r>
      <w:hyperlink r:id="rId112">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use and in patients with other risk factors for osteoporosis or fracture. </w:t>
      </w:r>
      <w:hyperlink r:id="rId113">
        <w:r w:rsidDel="00000000" w:rsidR="00000000" w:rsidRPr="00000000">
          <w:rPr>
            <w:color w:val="0074b9"/>
            <w:sz w:val="24"/>
            <w:szCs w:val="24"/>
            <w:rtl w:val="0"/>
          </w:rPr>
          <w:t xml:space="preserve">[1]</w:t>
        </w:r>
      </w:hyperlink>
      <w:hyperlink r:id="rId114">
        <w:r w:rsidDel="00000000" w:rsidR="00000000" w:rsidRPr="00000000">
          <w:rPr>
            <w:color w:val="0074b9"/>
            <w:sz w:val="24"/>
            <w:szCs w:val="24"/>
            <w:rtl w:val="0"/>
          </w:rPr>
          <w:t xml:space="preserve">[2]</w:t>
        </w:r>
      </w:hyperlink>
      <w:hyperlink r:id="rId115">
        <w:r w:rsidDel="00000000" w:rsidR="00000000" w:rsidRPr="00000000">
          <w:rPr>
            <w:color w:val="0074b9"/>
            <w:sz w:val="24"/>
            <w:szCs w:val="24"/>
            <w:rtl w:val="0"/>
          </w:rPr>
          <w:t xml:space="preserve">[3]</w:t>
        </w:r>
      </w:hyperlink>
      <w:hyperlink r:id="rId116">
        <w:r w:rsidDel="00000000" w:rsidR="00000000" w:rsidRPr="00000000">
          <w:rPr>
            <w:color w:val="0074b9"/>
            <w:sz w:val="24"/>
            <w:szCs w:val="24"/>
            <w:rtl w:val="0"/>
          </w:rPr>
          <w:t xml:space="preserve">[4]</w:t>
        </w:r>
      </w:hyperlink>
      <w:hyperlink r:id="rId117">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68">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absolute increase in fracture risk is modest, but clinically relevant for older adults and those with low bone mineral density (BMD), prior fragility fracture, chronic glucocorticoid use, low BMI, parental history of hip fracture, smoking, or excess alcohol intake.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[6]</w:t>
        </w:r>
      </w:hyperlink>
      <w:hyperlink r:id="rId120">
        <w:r w:rsidDel="00000000" w:rsidR="00000000" w:rsidRPr="00000000">
          <w:rPr>
            <w:color w:val="0074b9"/>
            <w:sz w:val="24"/>
            <w:szCs w:val="24"/>
            <w:rtl w:val="0"/>
          </w:rPr>
          <w:t xml:space="preserve">[7]</w:t>
        </w:r>
      </w:hyperlink>
      <w:hyperlink r:id="rId121">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69">
      <w:pPr>
        <w:numPr>
          <w:ilvl w:val="0"/>
          <w:numId w:val="3"/>
        </w:numPr>
        <w:shd w:fill="ffffff" w:val="clear"/>
        <w:spacing w:after="0" w:afterAutospacing="0" w:before="0" w:beforeAutospacing="0" w:line="390" w:lineRule="auto"/>
        <w:ind w:left="720" w:hanging="360"/>
        <w:rPr>
          <w:sz w:val="24"/>
          <w:szCs w:val="24"/>
        </w:rPr>
      </w:pPr>
      <w:hyperlink r:id="rId122">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may reduce calcium absorption, especially for calcium carbonate, and can contribute to hypomagnesemia, which may further impact bone health. </w:t>
      </w:r>
      <w:hyperlink r:id="rId123">
        <w:r w:rsidDel="00000000" w:rsidR="00000000" w:rsidRPr="00000000">
          <w:rPr>
            <w:color w:val="0074b9"/>
            <w:sz w:val="24"/>
            <w:szCs w:val="24"/>
            <w:rtl w:val="0"/>
          </w:rPr>
          <w:t xml:space="preserve">[1]</w:t>
        </w:r>
      </w:hyperlink>
      <w:hyperlink r:id="rId124">
        <w:r w:rsidDel="00000000" w:rsidR="00000000" w:rsidRPr="00000000">
          <w:rPr>
            <w:color w:val="0074b9"/>
            <w:sz w:val="24"/>
            <w:szCs w:val="24"/>
            <w:rtl w:val="0"/>
          </w:rPr>
          <w:t xml:space="preserve">[2]</w:t>
        </w:r>
      </w:hyperlink>
      <w:hyperlink r:id="rId125">
        <w:r w:rsidDel="00000000" w:rsidR="00000000" w:rsidRPr="00000000">
          <w:rPr>
            <w:color w:val="0074b9"/>
            <w:sz w:val="24"/>
            <w:szCs w:val="24"/>
            <w:rtl w:val="0"/>
          </w:rPr>
          <w:t xml:space="preserve">[9]</w:t>
        </w:r>
      </w:hyperlink>
      <w:hyperlink r:id="rId126">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6A">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FDA mandates safety information on all PPIs about possible increased risk of fractures of the hip, wrist, and spine. </w:t>
      </w:r>
      <w:hyperlink r:id="rId12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6B">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Causality between </w:t>
      </w:r>
      <w:hyperlink r:id="rId128">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and fracture risk is plausible but not definitively established; confounding by underlying illness and frailty may contribute. </w:t>
      </w:r>
      <w:hyperlink r:id="rId129">
        <w:r w:rsidDel="00000000" w:rsidR="00000000" w:rsidRPr="00000000">
          <w:rPr>
            <w:color w:val="0074b9"/>
            <w:sz w:val="24"/>
            <w:szCs w:val="24"/>
            <w:rtl w:val="0"/>
          </w:rPr>
          <w:t xml:space="preserve">[1]</w:t>
        </w:r>
      </w:hyperlink>
      <w:hyperlink r:id="rId130">
        <w:r w:rsidDel="00000000" w:rsidR="00000000" w:rsidRPr="00000000">
          <w:rPr>
            <w:color w:val="0074b9"/>
            <w:sz w:val="24"/>
            <w:szCs w:val="24"/>
            <w:rtl w:val="0"/>
          </w:rPr>
          <w:t xml:space="preserve">[2]</w:t>
        </w:r>
      </w:hyperlink>
      <w:hyperlink r:id="rId131">
        <w:r w:rsidDel="00000000" w:rsidR="00000000" w:rsidRPr="00000000">
          <w:rPr>
            <w:color w:val="0074b9"/>
            <w:sz w:val="24"/>
            <w:szCs w:val="24"/>
            <w:rtl w:val="0"/>
          </w:rPr>
          <w:t xml:space="preserve">[3]</w:t>
        </w:r>
      </w:hyperlink>
      <w:hyperlink r:id="rId132">
        <w:r w:rsidDel="00000000" w:rsidR="00000000" w:rsidRPr="00000000">
          <w:rPr>
            <w:color w:val="0074b9"/>
            <w:sz w:val="24"/>
            <w:szCs w:val="24"/>
            <w:rtl w:val="0"/>
          </w:rPr>
          <w:t xml:space="preserve">[4]</w:t>
        </w:r>
      </w:hyperlink>
      <w:hyperlink r:id="rId133">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6C">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Routine bone density monitoring or calcium supplementation is not recommended solely due to </w:t>
      </w:r>
      <w:hyperlink r:id="rId134">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use, but should be considered if other risk factors are present. </w:t>
      </w:r>
      <w:hyperlink r:id="rId135">
        <w:r w:rsidDel="00000000" w:rsidR="00000000" w:rsidRPr="00000000">
          <w:rPr>
            <w:color w:val="0074b9"/>
            <w:sz w:val="24"/>
            <w:szCs w:val="24"/>
            <w:rtl w:val="0"/>
          </w:rPr>
          <w:t xml:space="preserve">[11]</w:t>
        </w:r>
      </w:hyperlink>
      <w:hyperlink r:id="rId136">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6D">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patients on long-term </w:t>
      </w:r>
      <w:hyperlink r:id="rId137">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use calcium supplements that do not require acid for absorption (e.g., calcium citrate). </w:t>
      </w:r>
      <w:hyperlink r:id="rId138">
        <w:r w:rsidDel="00000000" w:rsidR="00000000" w:rsidRPr="00000000">
          <w:rPr>
            <w:color w:val="0074b9"/>
            <w:sz w:val="24"/>
            <w:szCs w:val="24"/>
            <w:rtl w:val="0"/>
          </w:rPr>
          <w:t xml:space="preserve">[1]</w:t>
        </w:r>
      </w:hyperlink>
      <w:hyperlink r:id="rId139">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r80l0vjqyw9" w:id="13"/>
      <w:bookmarkEnd w:id="13"/>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40" w:before="460" w:line="346.66666666666663" w:lineRule="auto"/>
        <w:rPr>
          <w:b w:val="1"/>
          <w:bCs w:val="1"/>
          <w:color w:val="232323"/>
          <w:sz w:val="27"/>
          <w:szCs w:val="27"/>
        </w:rPr>
      </w:pPr>
      <w:bookmarkStart w:colFirst="0" w:colLast="0" w:name="_qa24tjmmrcyj" w:id="14"/>
      <w:bookmarkEnd w:id="1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0">
      <w:pPr>
        <w:numPr>
          <w:ilvl w:val="0"/>
          <w:numId w:val="1"/>
        </w:numPr>
        <w:ind w:left="720" w:hanging="360"/>
        <w:rPr>
          <w:sz w:val="24"/>
          <w:szCs w:val="24"/>
        </w:rPr>
      </w:pPr>
      <w:r w:rsidDel="00000000" w:rsidR="00000000" w:rsidRPr="00000000">
        <w:rPr>
          <w:b w:val="1"/>
          <w:bCs w:val="1"/>
          <w:color w:val="232323"/>
          <w:sz w:val="24"/>
          <w:szCs w:val="24"/>
          <w:rtl w:val="0"/>
        </w:rPr>
        <w:t xml:space="preserve">Age 69</w:t>
      </w:r>
      <w:r w:rsidDel="00000000" w:rsidR="00000000" w:rsidRPr="00000000">
        <w:rPr>
          <w:color w:val="232323"/>
          <w:sz w:val="24"/>
          <w:szCs w:val="24"/>
          <w:rtl w:val="0"/>
        </w:rPr>
        <w:t xml:space="preserve"> -&gt; Increased baseline fracture risk;</w:t>
      </w:r>
      <w:hyperlink r:id="rId140">
        <w:r w:rsidDel="00000000" w:rsidR="00000000" w:rsidRPr="00000000">
          <w:rPr>
            <w:color w:val="232323"/>
            <w:sz w:val="24"/>
            <w:szCs w:val="24"/>
            <w:rtl w:val="0"/>
          </w:rPr>
          <w:t xml:space="preserve"> </w:t>
        </w:r>
      </w:hyperlink>
      <w:hyperlink r:id="rId141">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may further increase risk.</w:t>
      </w:r>
      <w:hyperlink r:id="rId142">
        <w:r w:rsidDel="00000000" w:rsidR="00000000" w:rsidRPr="00000000">
          <w:rPr>
            <w:color w:val="232323"/>
            <w:sz w:val="24"/>
            <w:szCs w:val="24"/>
            <w:rtl w:val="0"/>
          </w:rPr>
          <w:t xml:space="preserve"> </w:t>
        </w:r>
      </w:hyperlink>
      <w:hyperlink r:id="rId143">
        <w:r w:rsidDel="00000000" w:rsidR="00000000" w:rsidRPr="00000000">
          <w:rPr>
            <w:color w:val="0074b9"/>
            <w:sz w:val="24"/>
            <w:szCs w:val="24"/>
            <w:rtl w:val="0"/>
          </w:rPr>
          <w:t xml:space="preserve">[1]</w:t>
        </w:r>
      </w:hyperlink>
      <w:hyperlink r:id="rId144">
        <w:r w:rsidDel="00000000" w:rsidR="00000000" w:rsidRPr="00000000">
          <w:rPr>
            <w:color w:val="0074b9"/>
            <w:sz w:val="24"/>
            <w:szCs w:val="24"/>
            <w:rtl w:val="0"/>
          </w:rPr>
          <w:t xml:space="preserve">[2]</w:t>
        </w:r>
      </w:hyperlink>
      <w:hyperlink r:id="rId145">
        <w:r w:rsidDel="00000000" w:rsidR="00000000" w:rsidRPr="00000000">
          <w:rPr>
            <w:color w:val="0074b9"/>
            <w:sz w:val="24"/>
            <w:szCs w:val="24"/>
            <w:rtl w:val="0"/>
          </w:rPr>
          <w:t xml:space="preserve">[13]</w:t>
        </w:r>
      </w:hyperlink>
      <w:r w:rsidDel="00000000" w:rsidR="00000000" w:rsidRPr="00000000">
        <w:rPr>
          <w:color w:val="232323"/>
          <w:sz w:val="24"/>
          <w:szCs w:val="24"/>
          <w:rtl w:val="0"/>
        </w:rPr>
        <w:br w:type="textWrapping"/>
      </w:r>
    </w:p>
    <w:p w:rsidR="00000000" w:rsidDel="00000000" w:rsidP="00000000" w:rsidRDefault="00000000" w:rsidRPr="00000000" w14:paraId="00000071">
      <w:pPr>
        <w:numPr>
          <w:ilvl w:val="0"/>
          <w:numId w:val="1"/>
        </w:numPr>
        <w:ind w:left="720" w:hanging="360"/>
        <w:rPr>
          <w:sz w:val="24"/>
          <w:szCs w:val="24"/>
        </w:rPr>
      </w:pPr>
      <w:r w:rsidDel="00000000" w:rsidR="00000000" w:rsidRPr="00000000">
        <w:rPr>
          <w:b w:val="1"/>
          <w:bCs w:val="1"/>
          <w:color w:val="232323"/>
          <w:sz w:val="24"/>
          <w:szCs w:val="24"/>
          <w:rtl w:val="0"/>
        </w:rPr>
        <w:t xml:space="preserve">Male sex</w:t>
      </w:r>
      <w:r w:rsidDel="00000000" w:rsidR="00000000" w:rsidRPr="00000000">
        <w:rPr>
          <w:color w:val="232323"/>
          <w:sz w:val="24"/>
          <w:szCs w:val="24"/>
          <w:rtl w:val="0"/>
        </w:rPr>
        <w:t xml:space="preserve"> -&gt; Lower lifetime risk than females, but risk increases with age and comorbidities.</w:t>
      </w:r>
      <w:hyperlink r:id="rId146">
        <w:r w:rsidDel="00000000" w:rsidR="00000000" w:rsidRPr="00000000">
          <w:rPr>
            <w:color w:val="232323"/>
            <w:sz w:val="24"/>
            <w:szCs w:val="24"/>
            <w:rtl w:val="0"/>
          </w:rPr>
          <w:t xml:space="preserve"> </w:t>
        </w:r>
      </w:hyperlink>
      <w:hyperlink r:id="rId147">
        <w:r w:rsidDel="00000000" w:rsidR="00000000" w:rsidRPr="00000000">
          <w:rPr>
            <w:color w:val="0074b9"/>
            <w:sz w:val="24"/>
            <w:szCs w:val="24"/>
            <w:rtl w:val="0"/>
          </w:rPr>
          <w:t xml:space="preserve">[14]</w:t>
        </w:r>
      </w:hyperlink>
      <w:r w:rsidDel="00000000" w:rsidR="00000000" w:rsidRPr="00000000">
        <w:rPr>
          <w:color w:val="232323"/>
          <w:sz w:val="24"/>
          <w:szCs w:val="24"/>
          <w:rtl w:val="0"/>
        </w:rPr>
        <w:br w:type="textWrapping"/>
      </w:r>
    </w:p>
    <w:p w:rsidR="00000000" w:rsidDel="00000000" w:rsidP="00000000" w:rsidRDefault="00000000" w:rsidRPr="00000000" w14:paraId="00000072">
      <w:pPr>
        <w:numPr>
          <w:ilvl w:val="0"/>
          <w:numId w:val="1"/>
        </w:numPr>
        <w:ind w:left="720" w:hanging="360"/>
        <w:rPr>
          <w:sz w:val="24"/>
          <w:szCs w:val="24"/>
        </w:rPr>
      </w:pPr>
      <w:r w:rsidDel="00000000" w:rsidR="00000000" w:rsidRPr="00000000">
        <w:rPr>
          <w:b w:val="1"/>
          <w:bCs w:val="1"/>
          <w:color w:val="232323"/>
          <w:sz w:val="24"/>
          <w:szCs w:val="24"/>
          <w:rtl w:val="0"/>
        </w:rPr>
        <w:t xml:space="preserve">Hypomagnesemia</w:t>
      </w:r>
      <w:r w:rsidDel="00000000" w:rsidR="00000000" w:rsidRPr="00000000">
        <w:rPr>
          <w:color w:val="232323"/>
          <w:sz w:val="24"/>
          <w:szCs w:val="24"/>
          <w:rtl w:val="0"/>
        </w:rPr>
        <w:t xml:space="preserve"> -&gt;</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can worsen hypomagnesemia, which may impact bone health.</w:t>
      </w:r>
      <w:hyperlink r:id="rId150">
        <w:r w:rsidDel="00000000" w:rsidR="00000000" w:rsidRPr="00000000">
          <w:rPr>
            <w:color w:val="232323"/>
            <w:sz w:val="24"/>
            <w:szCs w:val="24"/>
            <w:rtl w:val="0"/>
          </w:rPr>
          <w:t xml:space="preserve"> </w:t>
        </w:r>
      </w:hyperlink>
      <w:hyperlink r:id="rId151">
        <w:r w:rsidDel="00000000" w:rsidR="00000000" w:rsidRPr="00000000">
          <w:rPr>
            <w:color w:val="0074b9"/>
            <w:sz w:val="24"/>
            <w:szCs w:val="24"/>
            <w:rtl w:val="0"/>
          </w:rPr>
          <w:t xml:space="preserve">[9]</w:t>
        </w:r>
      </w:hyperlink>
      <w:hyperlink r:id="rId152">
        <w:r w:rsidDel="00000000" w:rsidR="00000000" w:rsidRPr="00000000">
          <w:rPr>
            <w:color w:val="0074b9"/>
            <w:sz w:val="24"/>
            <w:szCs w:val="24"/>
            <w:rtl w:val="0"/>
          </w:rPr>
          <w:t xml:space="preserve">[10]</w:t>
        </w:r>
      </w:hyperlink>
      <w:r w:rsidDel="00000000" w:rsidR="00000000" w:rsidRPr="00000000">
        <w:rPr>
          <w:color w:val="232323"/>
          <w:sz w:val="24"/>
          <w:szCs w:val="24"/>
          <w:rtl w:val="0"/>
        </w:rPr>
        <w:br w:type="textWrapping"/>
      </w:r>
    </w:p>
    <w:p w:rsidR="00000000" w:rsidDel="00000000" w:rsidP="00000000" w:rsidRDefault="00000000" w:rsidRPr="00000000" w14:paraId="00000073">
      <w:pPr>
        <w:numPr>
          <w:ilvl w:val="0"/>
          <w:numId w:val="1"/>
        </w:numPr>
        <w:ind w:left="720" w:hanging="360"/>
        <w:rPr>
          <w:sz w:val="24"/>
          <w:szCs w:val="24"/>
        </w:rPr>
      </w:pPr>
      <w:r w:rsidDel="00000000" w:rsidR="00000000" w:rsidRPr="00000000">
        <w:rPr>
          <w:b w:val="1"/>
          <w:bCs w:val="1"/>
          <w:color w:val="232323"/>
          <w:sz w:val="24"/>
          <w:szCs w:val="24"/>
          <w:rtl w:val="0"/>
        </w:rPr>
        <w:t xml:space="preserve">GERD, daily</w:t>
      </w:r>
      <w:hyperlink r:id="rId153">
        <w:r w:rsidDel="00000000" w:rsidR="00000000" w:rsidRPr="00000000">
          <w:rPr>
            <w:b w:val="1"/>
            <w:bCs w:val="1"/>
            <w:color w:val="232323"/>
            <w:sz w:val="24"/>
            <w:szCs w:val="24"/>
            <w:rtl w:val="0"/>
          </w:rPr>
          <w:t xml:space="preserve"> </w:t>
        </w:r>
      </w:hyperlink>
      <w:hyperlink r:id="rId154">
        <w:r w:rsidDel="00000000" w:rsidR="00000000" w:rsidRPr="00000000">
          <w:rPr>
            <w:b w:val="1"/>
            <w:bCs w:val="1"/>
            <w:color w:val="0074b9"/>
            <w:sz w:val="24"/>
            <w:szCs w:val="24"/>
            <w:rtl w:val="0"/>
          </w:rPr>
          <w:t xml:space="preserve">omeprazole</w:t>
        </w:r>
      </w:hyperlink>
      <w:r w:rsidDel="00000000" w:rsidR="00000000" w:rsidRPr="00000000">
        <w:rPr>
          <w:color w:val="232323"/>
          <w:sz w:val="24"/>
          <w:szCs w:val="24"/>
          <w:rtl w:val="0"/>
        </w:rPr>
        <w:t xml:space="preserve"> -&gt; Long-term PPI use is associated with modestly increased fracture risk.</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[1]</w:t>
        </w:r>
      </w:hyperlink>
      <w:hyperlink r:id="rId157">
        <w:r w:rsidDel="00000000" w:rsidR="00000000" w:rsidRPr="00000000">
          <w:rPr>
            <w:color w:val="0074b9"/>
            <w:sz w:val="24"/>
            <w:szCs w:val="24"/>
            <w:rtl w:val="0"/>
          </w:rPr>
          <w:t xml:space="preserve">[2]</w:t>
        </w:r>
      </w:hyperlink>
      <w:hyperlink r:id="rId158">
        <w:r w:rsidDel="00000000" w:rsidR="00000000" w:rsidRPr="00000000">
          <w:rPr>
            <w:color w:val="0074b9"/>
            <w:sz w:val="24"/>
            <w:szCs w:val="24"/>
            <w:rtl w:val="0"/>
          </w:rPr>
          <w:t xml:space="preserve">[3]</w:t>
        </w:r>
      </w:hyperlink>
      <w:hyperlink r:id="rId159">
        <w:r w:rsidDel="00000000" w:rsidR="00000000" w:rsidRPr="00000000">
          <w:rPr>
            <w:color w:val="0074b9"/>
            <w:sz w:val="24"/>
            <w:szCs w:val="24"/>
            <w:rtl w:val="0"/>
          </w:rPr>
          <w:t xml:space="preserve">[4]</w:t>
        </w:r>
      </w:hyperlink>
      <w:hyperlink r:id="rId160">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74">
      <w:pPr>
        <w:numPr>
          <w:ilvl w:val="0"/>
          <w:numId w:val="1"/>
        </w:numPr>
        <w:ind w:left="720" w:hanging="360"/>
        <w:rPr>
          <w:sz w:val="24"/>
          <w:szCs w:val="24"/>
        </w:rPr>
      </w:pPr>
      <w:r w:rsidDel="00000000" w:rsidR="00000000" w:rsidRPr="00000000">
        <w:rPr>
          <w:b w:val="1"/>
          <w:bCs w:val="1"/>
          <w:color w:val="232323"/>
          <w:sz w:val="24"/>
          <w:szCs w:val="24"/>
          <w:rtl w:val="0"/>
        </w:rPr>
        <w:t xml:space="preserve">BMI 28 kg/m^2</w:t>
      </w:r>
      <w:r w:rsidDel="00000000" w:rsidR="00000000" w:rsidRPr="00000000">
        <w:rPr>
          <w:color w:val="232323"/>
          <w:sz w:val="24"/>
          <w:szCs w:val="24"/>
          <w:rtl w:val="0"/>
        </w:rPr>
        <w:t xml:space="preserve"> -&gt; Overweight status may slightly reduce fracture risk compared to low BMI.</w:t>
      </w:r>
      <w:hyperlink r:id="rId161">
        <w:r w:rsidDel="00000000" w:rsidR="00000000" w:rsidRPr="00000000">
          <w:rPr>
            <w:color w:val="232323"/>
            <w:sz w:val="24"/>
            <w:szCs w:val="24"/>
            <w:rtl w:val="0"/>
          </w:rPr>
          <w:t xml:space="preserve"> </w:t>
        </w:r>
      </w:hyperlink>
      <w:hyperlink r:id="rId162">
        <w:r w:rsidDel="00000000" w:rsidR="00000000" w:rsidRPr="00000000">
          <w:rPr>
            <w:color w:val="0074b9"/>
            <w:sz w:val="24"/>
            <w:szCs w:val="24"/>
            <w:rtl w:val="0"/>
          </w:rPr>
          <w:t xml:space="preserve">[15]</w:t>
        </w:r>
      </w:hyperlink>
      <w:r w:rsidDel="00000000" w:rsidR="00000000" w:rsidRPr="00000000">
        <w:rPr>
          <w:color w:val="232323"/>
          <w:sz w:val="24"/>
          <w:szCs w:val="24"/>
          <w:rtl w:val="0"/>
        </w:rPr>
        <w:br w:type="textWrapping"/>
      </w:r>
    </w:p>
    <w:p w:rsidR="00000000" w:rsidDel="00000000" w:rsidP="00000000" w:rsidRDefault="00000000" w:rsidRPr="00000000" w14:paraId="00000075">
      <w:pPr>
        <w:numPr>
          <w:ilvl w:val="0"/>
          <w:numId w:val="1"/>
        </w:numPr>
        <w:ind w:left="720" w:hanging="360"/>
        <w:rPr>
          <w:sz w:val="24"/>
          <w:szCs w:val="24"/>
        </w:rPr>
      </w:pPr>
      <w:r w:rsidDel="00000000" w:rsidR="00000000" w:rsidRPr="00000000">
        <w:rPr>
          <w:b w:val="1"/>
          <w:bCs w:val="1"/>
          <w:color w:val="232323"/>
          <w:sz w:val="24"/>
          <w:szCs w:val="24"/>
          <w:rtl w:val="0"/>
        </w:rPr>
        <w:t xml:space="preserve">No documented osteoporosis or prior fracture</w:t>
      </w:r>
      <w:r w:rsidDel="00000000" w:rsidR="00000000" w:rsidRPr="00000000">
        <w:rPr>
          <w:color w:val="232323"/>
          <w:sz w:val="24"/>
          <w:szCs w:val="24"/>
          <w:rtl w:val="0"/>
        </w:rPr>
        <w:t xml:space="preserve"> -&gt; Fracture risk is lower than in those with these risk factors, but still increased due to age and PPI use.</w:t>
      </w:r>
      <w:hyperlink r:id="rId163">
        <w:r w:rsidDel="00000000" w:rsidR="00000000" w:rsidRPr="00000000">
          <w:rPr>
            <w:color w:val="232323"/>
            <w:sz w:val="24"/>
            <w:szCs w:val="24"/>
            <w:rtl w:val="0"/>
          </w:rPr>
          <w:t xml:space="preserve"> </w:t>
        </w:r>
      </w:hyperlink>
      <w:hyperlink r:id="rId164">
        <w:r w:rsidDel="00000000" w:rsidR="00000000" w:rsidRPr="00000000">
          <w:rPr>
            <w:color w:val="0074b9"/>
            <w:sz w:val="24"/>
            <w:szCs w:val="24"/>
            <w:rtl w:val="0"/>
          </w:rPr>
          <w:t xml:space="preserve">[6]</w:t>
        </w:r>
      </w:hyperlink>
      <w:hyperlink r:id="rId165">
        <w:r w:rsidDel="00000000" w:rsidR="00000000" w:rsidRPr="00000000">
          <w:rPr>
            <w:color w:val="0074b9"/>
            <w:sz w:val="24"/>
            <w:szCs w:val="24"/>
            <w:rtl w:val="0"/>
          </w:rPr>
          <w:t xml:space="preserve">[7]</w:t>
        </w:r>
      </w:hyperlink>
      <w:r w:rsidDel="00000000" w:rsidR="00000000" w:rsidRPr="00000000">
        <w:rPr>
          <w:color w:val="232323"/>
          <w:sz w:val="24"/>
          <w:szCs w:val="24"/>
          <w:rtl w:val="0"/>
        </w:rPr>
        <w:br w:type="textWrapping"/>
      </w:r>
    </w:p>
    <w:p w:rsidR="00000000" w:rsidDel="00000000" w:rsidP="00000000" w:rsidRDefault="00000000" w:rsidRPr="00000000" w14:paraId="00000076">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Magnesium supplementation</w:t>
      </w:r>
      <w:r w:rsidDel="00000000" w:rsidR="00000000" w:rsidRPr="00000000">
        <w:rPr>
          <w:color w:val="232323"/>
          <w:sz w:val="24"/>
          <w:szCs w:val="24"/>
          <w:rtl w:val="0"/>
        </w:rPr>
        <w:t xml:space="preserve"> -&gt; May help mitigate PPI-induced hypomagnesemia, but monitoring is advised.</w:t>
      </w:r>
      <w:hyperlink r:id="rId166">
        <w:r w:rsidDel="00000000" w:rsidR="00000000" w:rsidRPr="00000000">
          <w:rPr>
            <w:color w:val="232323"/>
            <w:sz w:val="24"/>
            <w:szCs w:val="24"/>
            <w:rtl w:val="0"/>
          </w:rPr>
          <w:t xml:space="preserve"> </w:t>
        </w:r>
      </w:hyperlink>
      <w:hyperlink r:id="rId167">
        <w:r w:rsidDel="00000000" w:rsidR="00000000" w:rsidRPr="00000000">
          <w:rPr>
            <w:color w:val="0074b9"/>
            <w:sz w:val="24"/>
            <w:szCs w:val="24"/>
            <w:rtl w:val="0"/>
          </w:rPr>
          <w:t xml:space="preserve">[9]</w:t>
        </w:r>
      </w:hyperlink>
      <w:hyperlink r:id="rId168">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vmkztumseuit" w:id="15"/>
      <w:bookmarkEnd w:id="15"/>
      <w:r w:rsidDel="00000000" w:rsidR="00000000" w:rsidRPr="00000000">
        <w:rPr>
          <w:b w:val="1"/>
          <w:bCs w:val="1"/>
          <w:color w:val="232323"/>
          <w:sz w:val="27"/>
          <w:szCs w:val="27"/>
          <w:rtl w:val="0"/>
        </w:rPr>
        <w:t xml:space="preserve">Rationale</w:t>
      </w:r>
    </w:p>
    <w:p w:rsidR="00000000" w:rsidDel="00000000" w:rsidP="00000000" w:rsidRDefault="00000000" w:rsidRPr="00000000" w14:paraId="00000078">
      <w:pPr>
        <w:shd w:fill="ffffff" w:val="clear"/>
        <w:spacing w:line="390" w:lineRule="auto"/>
        <w:rPr>
          <w:color w:val="0074b9"/>
          <w:sz w:val="24"/>
          <w:szCs w:val="24"/>
        </w:rPr>
      </w:pPr>
      <w:hyperlink r:id="rId169">
        <w:r w:rsidDel="00000000" w:rsidR="00000000" w:rsidRPr="00000000">
          <w:rPr>
            <w:color w:val="0074b9"/>
            <w:sz w:val="24"/>
            <w:szCs w:val="24"/>
            <w:rtl w:val="0"/>
          </w:rPr>
          <w:t xml:space="preserve">Omeprazole</w:t>
        </w:r>
      </w:hyperlink>
      <w:r w:rsidDel="00000000" w:rsidR="00000000" w:rsidRPr="00000000">
        <w:rPr>
          <w:color w:val="232323"/>
          <w:sz w:val="24"/>
          <w:szCs w:val="24"/>
          <w:rtl w:val="0"/>
        </w:rPr>
        <w:t xml:space="preserve"> reduces gastric acid, impairing calcium absorption and possibly contributing to bone loss and increased fracture risk, especially in older adults with additional risk factors.</w:t>
      </w:r>
      <w:hyperlink r:id="rId170">
        <w:r w:rsidDel="00000000" w:rsidR="00000000" w:rsidRPr="00000000">
          <w:rPr>
            <w:color w:val="232323"/>
            <w:sz w:val="24"/>
            <w:szCs w:val="24"/>
            <w:rtl w:val="0"/>
          </w:rPr>
          <w:t xml:space="preserve"> </w:t>
        </w:r>
      </w:hyperlink>
      <w:hyperlink r:id="rId171">
        <w:r w:rsidDel="00000000" w:rsidR="00000000" w:rsidRPr="00000000">
          <w:rPr>
            <w:color w:val="0074b9"/>
            <w:sz w:val="24"/>
            <w:szCs w:val="24"/>
            <w:rtl w:val="0"/>
          </w:rPr>
          <w:t xml:space="preserve">[1]</w:t>
        </w:r>
      </w:hyperlink>
      <w:hyperlink r:id="rId172">
        <w:r w:rsidDel="00000000" w:rsidR="00000000" w:rsidRPr="00000000">
          <w:rPr>
            <w:color w:val="0074b9"/>
            <w:sz w:val="24"/>
            <w:szCs w:val="24"/>
            <w:rtl w:val="0"/>
          </w:rPr>
          <w:t xml:space="preserve">[2]</w:t>
        </w:r>
      </w:hyperlink>
      <w:hyperlink r:id="rId173">
        <w:r w:rsidDel="00000000" w:rsidR="00000000" w:rsidRPr="00000000">
          <w:rPr>
            <w:color w:val="0074b9"/>
            <w:sz w:val="24"/>
            <w:szCs w:val="24"/>
            <w:rtl w:val="0"/>
          </w:rPr>
          <w:t xml:space="preserve">[3]</w:t>
        </w:r>
      </w:hyperlink>
      <w:hyperlink r:id="rId174">
        <w:r w:rsidDel="00000000" w:rsidR="00000000" w:rsidRPr="00000000">
          <w:rPr>
            <w:color w:val="0074b9"/>
            <w:sz w:val="24"/>
            <w:szCs w:val="24"/>
            <w:rtl w:val="0"/>
          </w:rPr>
          <w:t xml:space="preserve">[4]</w:t>
        </w:r>
      </w:hyperlink>
      <w:hyperlink r:id="rId175">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after="40" w:before="460" w:line="346.66666666666663" w:lineRule="auto"/>
        <w:rPr>
          <w:b w:val="1"/>
          <w:bCs w:val="1"/>
          <w:color w:val="232323"/>
          <w:sz w:val="27"/>
          <w:szCs w:val="27"/>
        </w:rPr>
      </w:pPr>
      <w:bookmarkStart w:colFirst="0" w:colLast="0" w:name="_48re12816yjh"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7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B">
      <w:pPr>
        <w:numPr>
          <w:ilvl w:val="0"/>
          <w:numId w:val="4"/>
        </w:numPr>
        <w:shd w:fill="ffffff" w:val="clear"/>
        <w:spacing w:after="0" w:afterAutospacing="0" w:before="220" w:line="390" w:lineRule="auto"/>
        <w:ind w:left="720" w:hanging="360"/>
      </w:pPr>
      <w:hyperlink r:id="rId176">
        <w:r w:rsidDel="00000000" w:rsidR="00000000" w:rsidRPr="00000000">
          <w:rPr>
            <w:color w:val="0074b9"/>
            <w:sz w:val="24"/>
            <w:szCs w:val="24"/>
            <w:rtl w:val="0"/>
          </w:rPr>
          <w:t xml:space="preserve">What if the patient has a history of osteoporosis or prior fragility fracture?</w:t>
        </w:r>
      </w:hyperlink>
      <w:r w:rsidDel="00000000" w:rsidR="00000000" w:rsidRPr="00000000">
        <w:rPr>
          <w:rtl w:val="0"/>
        </w:rPr>
      </w:r>
    </w:p>
    <w:p w:rsidR="00000000" w:rsidDel="00000000" w:rsidP="00000000" w:rsidRDefault="00000000" w:rsidRPr="00000000" w14:paraId="0000007C">
      <w:pPr>
        <w:numPr>
          <w:ilvl w:val="0"/>
          <w:numId w:val="4"/>
        </w:numPr>
        <w:shd w:fill="ffffff" w:val="clear"/>
        <w:spacing w:after="0" w:afterAutospacing="0" w:before="0" w:beforeAutospacing="0" w:line="390" w:lineRule="auto"/>
        <w:ind w:left="720" w:hanging="360"/>
      </w:pPr>
      <w:hyperlink r:id="rId177">
        <w:r w:rsidDel="00000000" w:rsidR="00000000" w:rsidRPr="00000000">
          <w:rPr>
            <w:color w:val="0074b9"/>
            <w:sz w:val="24"/>
            <w:szCs w:val="24"/>
            <w:rtl w:val="0"/>
          </w:rPr>
          <w:t xml:space="preserve">Should bone mineral density be monitored in this patient?</w:t>
        </w:r>
      </w:hyperlink>
      <w:r w:rsidDel="00000000" w:rsidR="00000000" w:rsidRPr="00000000">
        <w:rPr>
          <w:rtl w:val="0"/>
        </w:rPr>
      </w:r>
    </w:p>
    <w:p w:rsidR="00000000" w:rsidDel="00000000" w:rsidP="00000000" w:rsidRDefault="00000000" w:rsidRPr="00000000" w14:paraId="0000007D">
      <w:pPr>
        <w:numPr>
          <w:ilvl w:val="0"/>
          <w:numId w:val="4"/>
        </w:numPr>
        <w:shd w:fill="ffffff" w:val="clear"/>
        <w:spacing w:after="0" w:afterAutospacing="0" w:before="0" w:beforeAutospacing="0" w:line="390" w:lineRule="auto"/>
        <w:ind w:left="720" w:hanging="360"/>
      </w:pPr>
      <w:hyperlink r:id="rId178">
        <w:r w:rsidDel="00000000" w:rsidR="00000000" w:rsidRPr="00000000">
          <w:rPr>
            <w:color w:val="0074b9"/>
            <w:sz w:val="24"/>
            <w:szCs w:val="24"/>
            <w:rtl w:val="0"/>
          </w:rPr>
          <w:t xml:space="preserve">What are the best strategies for calcium supplementation in patients on PPIs?</w:t>
        </w:r>
      </w:hyperlink>
      <w:r w:rsidDel="00000000" w:rsidR="00000000" w:rsidRPr="00000000">
        <w:rPr>
          <w:rtl w:val="0"/>
        </w:rPr>
      </w:r>
    </w:p>
    <w:p w:rsidR="00000000" w:rsidDel="00000000" w:rsidP="00000000" w:rsidRDefault="00000000" w:rsidRPr="00000000" w14:paraId="0000007E">
      <w:pPr>
        <w:numPr>
          <w:ilvl w:val="0"/>
          <w:numId w:val="4"/>
        </w:numPr>
        <w:shd w:fill="ffffff" w:val="clear"/>
        <w:spacing w:after="0" w:afterAutospacing="0" w:before="0" w:beforeAutospacing="0" w:line="390" w:lineRule="auto"/>
        <w:ind w:left="720" w:hanging="360"/>
      </w:pPr>
      <w:hyperlink r:id="rId179">
        <w:r w:rsidDel="00000000" w:rsidR="00000000" w:rsidRPr="00000000">
          <w:rPr>
            <w:color w:val="0074b9"/>
            <w:sz w:val="24"/>
            <w:szCs w:val="24"/>
            <w:rtl w:val="0"/>
          </w:rPr>
          <w:t xml:space="preserve">How should hypomagnesemia be managed in patients on long-term PPIs?</w:t>
        </w:r>
      </w:hyperlink>
      <w:r w:rsidDel="00000000" w:rsidR="00000000" w:rsidRPr="00000000">
        <w:rPr>
          <w:rtl w:val="0"/>
        </w:rPr>
      </w:r>
    </w:p>
    <w:p w:rsidR="00000000" w:rsidDel="00000000" w:rsidP="00000000" w:rsidRDefault="00000000" w:rsidRPr="00000000" w14:paraId="0000007F">
      <w:pPr>
        <w:numPr>
          <w:ilvl w:val="0"/>
          <w:numId w:val="4"/>
        </w:numPr>
        <w:shd w:fill="ffffff" w:val="clear"/>
        <w:spacing w:after="0" w:afterAutospacing="0" w:before="0" w:beforeAutospacing="0" w:line="390" w:lineRule="auto"/>
        <w:ind w:left="720" w:hanging="360"/>
      </w:pPr>
      <w:hyperlink r:id="rId180">
        <w:r w:rsidDel="00000000" w:rsidR="00000000" w:rsidRPr="00000000">
          <w:rPr>
            <w:color w:val="0074b9"/>
            <w:sz w:val="24"/>
            <w:szCs w:val="24"/>
            <w:rtl w:val="0"/>
          </w:rPr>
          <w:t xml:space="preserve">What are alternatives to PPIs for GERD in older adults?</w:t>
        </w:r>
      </w:hyperlink>
      <w:r w:rsidDel="00000000" w:rsidR="00000000" w:rsidRPr="00000000">
        <w:rPr>
          <w:rtl w:val="0"/>
        </w:rPr>
      </w:r>
    </w:p>
    <w:p w:rsidR="00000000" w:rsidDel="00000000" w:rsidP="00000000" w:rsidRDefault="00000000" w:rsidRPr="00000000" w14:paraId="00000080">
      <w:pPr>
        <w:numPr>
          <w:ilvl w:val="0"/>
          <w:numId w:val="4"/>
        </w:numPr>
        <w:shd w:fill="ffffff" w:val="clear"/>
        <w:spacing w:after="0" w:afterAutospacing="0" w:before="0" w:beforeAutospacing="0" w:line="390" w:lineRule="auto"/>
        <w:ind w:left="720" w:hanging="360"/>
      </w:pPr>
      <w:hyperlink r:id="rId181">
        <w:r w:rsidDel="00000000" w:rsidR="00000000" w:rsidRPr="00000000">
          <w:rPr>
            <w:color w:val="0074b9"/>
            <w:sz w:val="24"/>
            <w:szCs w:val="24"/>
            <w:rtl w:val="0"/>
          </w:rPr>
          <w:t xml:space="preserve">What if the patient is also on chronic glucocorticoids?</w:t>
        </w:r>
      </w:hyperlink>
      <w:r w:rsidDel="00000000" w:rsidR="00000000" w:rsidRPr="00000000">
        <w:rPr>
          <w:rtl w:val="0"/>
        </w:rPr>
      </w:r>
    </w:p>
    <w:p w:rsidR="00000000" w:rsidDel="00000000" w:rsidP="00000000" w:rsidRDefault="00000000" w:rsidRPr="00000000" w14:paraId="00000081">
      <w:pPr>
        <w:numPr>
          <w:ilvl w:val="0"/>
          <w:numId w:val="4"/>
        </w:numPr>
        <w:shd w:fill="ffffff" w:val="clear"/>
        <w:spacing w:before="0" w:beforeAutospacing="0" w:line="390" w:lineRule="auto"/>
        <w:ind w:left="720" w:hanging="360"/>
      </w:pPr>
      <w:hyperlink r:id="rId182">
        <w:r w:rsidDel="00000000" w:rsidR="00000000" w:rsidRPr="00000000">
          <w:rPr>
            <w:color w:val="0074b9"/>
            <w:sz w:val="24"/>
            <w:szCs w:val="24"/>
            <w:rtl w:val="0"/>
          </w:rPr>
          <w:t xml:space="preserve">What if the patient is at high risk for falls?</w:t>
        </w:r>
      </w:hyperlink>
      <w:r w:rsidDel="00000000" w:rsidR="00000000" w:rsidRPr="00000000">
        <w:rPr>
          <w:rtl w:val="0"/>
        </w:rPr>
      </w:r>
    </w:p>
    <w:p w:rsidR="00000000" w:rsidDel="00000000" w:rsidP="00000000" w:rsidRDefault="00000000" w:rsidRPr="00000000" w14:paraId="0000008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3">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fracture risk assessment and management.</w:t>
      </w:r>
    </w:p>
    <w:p w:rsidR="00000000" w:rsidDel="00000000" w:rsidP="00000000" w:rsidRDefault="00000000" w:rsidRPr="00000000" w14:paraId="00000084">
      <w:pPr>
        <w:pStyle w:val="Heading3"/>
        <w:keepNext w:val="0"/>
        <w:keepLines w:val="0"/>
        <w:shd w:fill="ffffff" w:val="clear"/>
        <w:spacing w:after="40" w:before="460" w:line="346.66666666666663" w:lineRule="auto"/>
        <w:rPr>
          <w:b w:val="1"/>
          <w:bCs w:val="1"/>
          <w:color w:val="232323"/>
          <w:sz w:val="27"/>
          <w:szCs w:val="27"/>
        </w:rPr>
      </w:pPr>
      <w:bookmarkStart w:colFirst="0" w:colLast="0" w:name="_1b5pzisvdnie"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5">
      <w:pPr>
        <w:numPr>
          <w:ilvl w:val="0"/>
          <w:numId w:val="2"/>
        </w:numPr>
        <w:shd w:fill="ffffff" w:val="clear"/>
        <w:spacing w:after="0" w:afterAutospacing="0" w:before="240" w:lineRule="auto"/>
        <w:ind w:left="720" w:hanging="360"/>
      </w:pPr>
      <w:hyperlink r:id="rId183">
        <w:r w:rsidDel="00000000" w:rsidR="00000000" w:rsidRPr="00000000">
          <w:rPr>
            <w:color w:val="0074b9"/>
            <w:sz w:val="24"/>
            <w:szCs w:val="24"/>
            <w:rtl w:val="0"/>
          </w:rPr>
          <w:t xml:space="preserve">Drugs that affect bone metabolism &gt; DRUGS WITH POSSIBLE ADVERSE EFFECTS &gt; Gastric acid inhibitors</w:t>
        </w:r>
      </w:hyperlink>
      <w:r w:rsidDel="00000000" w:rsidR="00000000" w:rsidRPr="00000000">
        <w:rPr>
          <w:rtl w:val="0"/>
        </w:rPr>
      </w:r>
    </w:p>
    <w:p w:rsidR="00000000" w:rsidDel="00000000" w:rsidP="00000000" w:rsidRDefault="00000000" w:rsidRPr="00000000" w14:paraId="00000086">
      <w:pPr>
        <w:numPr>
          <w:ilvl w:val="0"/>
          <w:numId w:val="2"/>
        </w:numPr>
        <w:shd w:fill="ffffff" w:val="clear"/>
        <w:spacing w:after="0" w:afterAutospacing="0" w:before="0" w:beforeAutospacing="0" w:lineRule="auto"/>
        <w:ind w:left="720" w:hanging="360"/>
      </w:pPr>
      <w:hyperlink r:id="rId184">
        <w:r w:rsidDel="00000000" w:rsidR="00000000" w:rsidRPr="00000000">
          <w:rPr>
            <w:color w:val="0074b9"/>
            <w:sz w:val="24"/>
            <w:szCs w:val="24"/>
            <w:rtl w:val="0"/>
          </w:rPr>
          <w:t xml:space="preserve">Proton pump inhibitors: Overview of use and adverse effects in the treatment of acid related disorders &gt; ADVERSE EFFECTS &gt; Malabsorption of minerals and vitamins &gt; Calcium and fracture risk</w:t>
        </w:r>
      </w:hyperlink>
      <w:r w:rsidDel="00000000" w:rsidR="00000000" w:rsidRPr="00000000">
        <w:rPr>
          <w:rtl w:val="0"/>
        </w:rPr>
      </w:r>
    </w:p>
    <w:p w:rsidR="00000000" w:rsidDel="00000000" w:rsidP="00000000" w:rsidRDefault="00000000" w:rsidRPr="00000000" w14:paraId="00000087">
      <w:pPr>
        <w:numPr>
          <w:ilvl w:val="0"/>
          <w:numId w:val="2"/>
        </w:numPr>
        <w:shd w:fill="ffffff" w:val="clear"/>
        <w:spacing w:after="0" w:afterAutospacing="0" w:before="0" w:beforeAutospacing="0" w:lineRule="auto"/>
        <w:ind w:left="720" w:hanging="360"/>
      </w:pPr>
      <w:hyperlink r:id="rId185">
        <w:r w:rsidDel="00000000" w:rsidR="00000000" w:rsidRPr="00000000">
          <w:rPr>
            <w:color w:val="0074b9"/>
            <w:sz w:val="24"/>
            <w:szCs w:val="24"/>
            <w:rtl w:val="0"/>
          </w:rPr>
          <w:t xml:space="preserve">Esomeprazole: Drug information &gt; Adverse Reactions (Significant): Considerations</w:t>
        </w:r>
      </w:hyperlink>
      <w:r w:rsidDel="00000000" w:rsidR="00000000" w:rsidRPr="00000000">
        <w:rPr>
          <w:rtl w:val="0"/>
        </w:rPr>
      </w:r>
    </w:p>
    <w:p w:rsidR="00000000" w:rsidDel="00000000" w:rsidP="00000000" w:rsidRDefault="00000000" w:rsidRPr="00000000" w14:paraId="00000088">
      <w:pPr>
        <w:numPr>
          <w:ilvl w:val="0"/>
          <w:numId w:val="2"/>
        </w:numPr>
        <w:shd w:fill="ffffff" w:val="clear"/>
        <w:spacing w:after="0" w:afterAutospacing="0" w:before="0" w:beforeAutospacing="0" w:lineRule="auto"/>
        <w:ind w:left="720" w:hanging="360"/>
      </w:pPr>
      <w:hyperlink r:id="rId186">
        <w:r w:rsidDel="00000000" w:rsidR="00000000" w:rsidRPr="00000000">
          <w:rPr>
            <w:color w:val="0074b9"/>
            <w:sz w:val="24"/>
            <w:szCs w:val="24"/>
            <w:rtl w:val="0"/>
          </w:rPr>
          <w:t xml:space="preserve">Pantoprazole: Drug information &gt; Adverse Reactions (Significant): Considerations</w:t>
        </w:r>
      </w:hyperlink>
      <w:r w:rsidDel="00000000" w:rsidR="00000000" w:rsidRPr="00000000">
        <w:rPr>
          <w:rtl w:val="0"/>
        </w:rPr>
      </w:r>
    </w:p>
    <w:p w:rsidR="00000000" w:rsidDel="00000000" w:rsidP="00000000" w:rsidRDefault="00000000" w:rsidRPr="00000000" w14:paraId="00000089">
      <w:pPr>
        <w:numPr>
          <w:ilvl w:val="0"/>
          <w:numId w:val="2"/>
        </w:numPr>
        <w:shd w:fill="ffffff" w:val="clear"/>
        <w:spacing w:after="0" w:afterAutospacing="0" w:before="0" w:beforeAutospacing="0" w:lineRule="auto"/>
        <w:ind w:left="720" w:hanging="360"/>
      </w:pPr>
      <w:hyperlink r:id="rId187">
        <w:r w:rsidDel="00000000" w:rsidR="00000000" w:rsidRPr="00000000">
          <w:rPr>
            <w:color w:val="0074b9"/>
            <w:sz w:val="24"/>
            <w:szCs w:val="24"/>
            <w:rtl w:val="0"/>
          </w:rPr>
          <w:t xml:space="preserve">Omeprazole: Drug information &gt; Adverse Reactions (Significant): Considerations</w:t>
        </w:r>
      </w:hyperlink>
      <w:r w:rsidDel="00000000" w:rsidR="00000000" w:rsidRPr="00000000">
        <w:rPr>
          <w:rtl w:val="0"/>
        </w:rPr>
      </w:r>
    </w:p>
    <w:p w:rsidR="00000000" w:rsidDel="00000000" w:rsidP="00000000" w:rsidRDefault="00000000" w:rsidRPr="00000000" w14:paraId="0000008A">
      <w:pPr>
        <w:numPr>
          <w:ilvl w:val="0"/>
          <w:numId w:val="2"/>
        </w:numPr>
        <w:shd w:fill="ffffff" w:val="clear"/>
        <w:spacing w:after="0" w:afterAutospacing="0" w:before="0" w:beforeAutospacing="0" w:lineRule="auto"/>
        <w:ind w:left="720" w:hanging="360"/>
      </w:pPr>
      <w:hyperlink r:id="rId188">
        <w:r w:rsidDel="00000000" w:rsidR="00000000" w:rsidRPr="00000000">
          <w:rPr>
            <w:color w:val="0074b9"/>
            <w:sz w:val="24"/>
            <w:szCs w:val="24"/>
            <w:rtl w:val="0"/>
          </w:rPr>
          <w:t xml:space="preserve">Fracture risk assessment &gt; ASSESSMENT OF FRACTURE RISK &gt; Clinical risk factors</w:t>
        </w:r>
      </w:hyperlink>
      <w:r w:rsidDel="00000000" w:rsidR="00000000" w:rsidRPr="00000000">
        <w:rPr>
          <w:rtl w:val="0"/>
        </w:rPr>
      </w:r>
    </w:p>
    <w:p w:rsidR="00000000" w:rsidDel="00000000" w:rsidP="00000000" w:rsidRDefault="00000000" w:rsidRPr="00000000" w14:paraId="0000008B">
      <w:pPr>
        <w:numPr>
          <w:ilvl w:val="0"/>
          <w:numId w:val="2"/>
        </w:numPr>
        <w:shd w:fill="ffffff" w:val="clear"/>
        <w:spacing w:after="0" w:afterAutospacing="0" w:before="0" w:beforeAutospacing="0" w:lineRule="auto"/>
        <w:ind w:left="720" w:hanging="360"/>
      </w:pPr>
      <w:hyperlink r:id="rId189">
        <w:r w:rsidDel="00000000" w:rsidR="00000000" w:rsidRPr="00000000">
          <w:rPr>
            <w:color w:val="0074b9"/>
            <w:sz w:val="24"/>
            <w:szCs w:val="24"/>
            <w:rtl w:val="0"/>
          </w:rPr>
          <w:t xml:space="preserve">Fracture risk assessment &gt; CLINICAL RISK FACTOR ASSESSMENT</w:t>
        </w:r>
      </w:hyperlink>
      <w:r w:rsidDel="00000000" w:rsidR="00000000" w:rsidRPr="00000000">
        <w:rPr>
          <w:rtl w:val="0"/>
        </w:rPr>
      </w:r>
    </w:p>
    <w:p w:rsidR="00000000" w:rsidDel="00000000" w:rsidP="00000000" w:rsidRDefault="00000000" w:rsidRPr="00000000" w14:paraId="0000008C">
      <w:pPr>
        <w:numPr>
          <w:ilvl w:val="0"/>
          <w:numId w:val="2"/>
        </w:numPr>
        <w:shd w:fill="ffffff" w:val="clear"/>
        <w:spacing w:after="0" w:afterAutospacing="0" w:before="0" w:beforeAutospacing="0" w:lineRule="auto"/>
        <w:ind w:left="720" w:hanging="360"/>
      </w:pPr>
      <w:hyperlink r:id="rId190">
        <w:r w:rsidDel="00000000" w:rsidR="00000000" w:rsidRPr="00000000">
          <w:rPr>
            <w:color w:val="0074b9"/>
            <w:sz w:val="24"/>
            <w:szCs w:val="24"/>
            <w:rtl w:val="0"/>
          </w:rPr>
          <w:t xml:space="preserve">Fracture risk assessment &gt; SUMMARY AND RECOMMENDATIONS</w:t>
        </w:r>
      </w:hyperlink>
      <w:r w:rsidDel="00000000" w:rsidR="00000000" w:rsidRPr="00000000">
        <w:rPr>
          <w:rtl w:val="0"/>
        </w:rPr>
      </w:r>
    </w:p>
    <w:p w:rsidR="00000000" w:rsidDel="00000000" w:rsidP="00000000" w:rsidRDefault="00000000" w:rsidRPr="00000000" w14:paraId="0000008D">
      <w:pPr>
        <w:numPr>
          <w:ilvl w:val="0"/>
          <w:numId w:val="2"/>
        </w:numPr>
        <w:shd w:fill="ffffff" w:val="clear"/>
        <w:spacing w:after="0" w:afterAutospacing="0" w:before="0" w:beforeAutospacing="0" w:lineRule="auto"/>
        <w:ind w:left="720" w:hanging="360"/>
      </w:pPr>
      <w:hyperlink r:id="rId191">
        <w:r w:rsidDel="00000000" w:rsidR="00000000" w:rsidRPr="00000000">
          <w:rPr>
            <w:color w:val="0074b9"/>
            <w:sz w:val="24"/>
            <w:szCs w:val="24"/>
            <w:rtl w:val="0"/>
          </w:rPr>
          <w:t xml:space="preserve">Proton pump inhibitors: Overview of use and adverse effects in the treatment of acid related disorders &gt; ADVERSE EFFECTS &gt; Malabsorption of minerals and vitamins &gt; Magnesium malabsorption</w:t>
        </w:r>
      </w:hyperlink>
      <w:r w:rsidDel="00000000" w:rsidR="00000000" w:rsidRPr="00000000">
        <w:rPr>
          <w:rtl w:val="0"/>
        </w:rPr>
      </w:r>
    </w:p>
    <w:p w:rsidR="00000000" w:rsidDel="00000000" w:rsidP="00000000" w:rsidRDefault="00000000" w:rsidRPr="00000000" w14:paraId="0000008E">
      <w:pPr>
        <w:numPr>
          <w:ilvl w:val="0"/>
          <w:numId w:val="2"/>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Hypomagnesemia: Causes of hypomagnesemia &gt; INCREASED GASTROINTESTINAL LOSSES &gt; Proton pump inhibitors</w:t>
        </w:r>
      </w:hyperlink>
      <w:r w:rsidDel="00000000" w:rsidR="00000000" w:rsidRPr="00000000">
        <w:rPr>
          <w:rtl w:val="0"/>
        </w:rPr>
      </w:r>
    </w:p>
    <w:p w:rsidR="00000000" w:rsidDel="00000000" w:rsidP="00000000" w:rsidRDefault="00000000" w:rsidRPr="00000000" w14:paraId="0000008F">
      <w:pPr>
        <w:numPr>
          <w:ilvl w:val="0"/>
          <w:numId w:val="2"/>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Proton pump inhibitors: Overview of use and adverse effects in the treatment of acid related disorders &gt; PRETREATMENT CONSIDERATIONS AND MONITORING &gt; Laboratory testing</w:t>
        </w:r>
      </w:hyperlink>
      <w:r w:rsidDel="00000000" w:rsidR="00000000" w:rsidRPr="00000000">
        <w:rPr>
          <w:rtl w:val="0"/>
        </w:rPr>
      </w:r>
    </w:p>
    <w:p w:rsidR="00000000" w:rsidDel="00000000" w:rsidP="00000000" w:rsidRDefault="00000000" w:rsidRPr="00000000" w14:paraId="00000090">
      <w:pPr>
        <w:numPr>
          <w:ilvl w:val="0"/>
          <w:numId w:val="2"/>
        </w:numPr>
        <w:shd w:fill="ffffff" w:val="clear"/>
        <w:spacing w:after="0" w:afterAutospacing="0" w:before="0" w:beforeAutospacing="0" w:lineRule="auto"/>
        <w:ind w:left="720" w:hanging="360"/>
      </w:pPr>
      <w:hyperlink r:id="rId194">
        <w:r w:rsidDel="00000000" w:rsidR="00000000" w:rsidRPr="00000000">
          <w:rPr>
            <w:color w:val="0074b9"/>
            <w:sz w:val="24"/>
            <w:szCs w:val="24"/>
            <w:rtl w:val="0"/>
          </w:rPr>
          <w:t xml:space="preserve">Drugs that affect bone metabolism &gt; SUMMARY</w:t>
        </w:r>
      </w:hyperlink>
      <w:r w:rsidDel="00000000" w:rsidR="00000000" w:rsidRPr="00000000">
        <w:rPr>
          <w:rtl w:val="0"/>
        </w:rPr>
      </w:r>
    </w:p>
    <w:p w:rsidR="00000000" w:rsidDel="00000000" w:rsidP="00000000" w:rsidRDefault="00000000" w:rsidRPr="00000000" w14:paraId="00000091">
      <w:pPr>
        <w:numPr>
          <w:ilvl w:val="0"/>
          <w:numId w:val="2"/>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Fracture risk assessment &gt; CLINICAL RISK FACTOR ASSESSMENT &gt; Advanced age</w:t>
        </w:r>
      </w:hyperlink>
      <w:r w:rsidDel="00000000" w:rsidR="00000000" w:rsidRPr="00000000">
        <w:rPr>
          <w:rtl w:val="0"/>
        </w:rPr>
      </w:r>
    </w:p>
    <w:p w:rsidR="00000000" w:rsidDel="00000000" w:rsidP="00000000" w:rsidRDefault="00000000" w:rsidRPr="00000000" w14:paraId="00000092">
      <w:pPr>
        <w:numPr>
          <w:ilvl w:val="0"/>
          <w:numId w:val="2"/>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Hip fracture in older adults: Epidemiology and medical management &gt; RISK FACTORS</w:t>
        </w:r>
      </w:hyperlink>
      <w:r w:rsidDel="00000000" w:rsidR="00000000" w:rsidRPr="00000000">
        <w:rPr>
          <w:rtl w:val="0"/>
        </w:rPr>
      </w:r>
    </w:p>
    <w:p w:rsidR="00000000" w:rsidDel="00000000" w:rsidP="00000000" w:rsidRDefault="00000000" w:rsidRPr="00000000" w14:paraId="00000093">
      <w:pPr>
        <w:numPr>
          <w:ilvl w:val="0"/>
          <w:numId w:val="2"/>
        </w:numPr>
        <w:shd w:fill="ffffff" w:val="clear"/>
        <w:spacing w:before="0" w:beforeAutospacing="0" w:lineRule="auto"/>
        <w:ind w:left="720" w:hanging="360"/>
      </w:pPr>
      <w:hyperlink r:id="rId197">
        <w:r w:rsidDel="00000000" w:rsidR="00000000" w:rsidRPr="00000000">
          <w:rPr>
            <w:color w:val="0074b9"/>
            <w:sz w:val="24"/>
            <w:szCs w:val="24"/>
            <w:rtl w:val="0"/>
          </w:rPr>
          <w:t xml:space="preserve">Fracture risk assessment &gt; CLINICAL RISK FACTOR ASSESSMENT &gt; Body weight</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6680#H38" TargetMode="External"/><Relationship Id="rId190" Type="http://schemas.openxmlformats.org/officeDocument/2006/relationships/hyperlink" Target="https://www.uptodate.com/contents/2061#H29" TargetMode="External"/><Relationship Id="rId42" Type="http://schemas.openxmlformats.org/officeDocument/2006/relationships/hyperlink" Target="https://www.uptodate.com/contents/6680#H38" TargetMode="External"/><Relationship Id="rId41" Type="http://schemas.openxmlformats.org/officeDocument/2006/relationships/hyperlink" Target="https://www.uptodate.com/contents/990#H3998593790" TargetMode="External"/><Relationship Id="rId44" Type="http://schemas.openxmlformats.org/officeDocument/2006/relationships/hyperlink" Target="https://www.uptodate.com/contents/990#H3998593790" TargetMode="External"/><Relationship Id="rId194" Type="http://schemas.openxmlformats.org/officeDocument/2006/relationships/hyperlink" Target="https://www.uptodate.com/contents/2036#H27" TargetMode="External"/><Relationship Id="rId43" Type="http://schemas.openxmlformats.org/officeDocument/2006/relationships/hyperlink" Target="https://www.uptodate.com/contents/6680#H38" TargetMode="External"/><Relationship Id="rId193" Type="http://schemas.openxmlformats.org/officeDocument/2006/relationships/hyperlink" Target="https://www.uptodate.com/contents/5#H1860854596" TargetMode="External"/><Relationship Id="rId46" Type="http://schemas.openxmlformats.org/officeDocument/2006/relationships/hyperlink" Target="https://www.uptodate.com/contents/6680#H38" TargetMode="External"/><Relationship Id="rId192" Type="http://schemas.openxmlformats.org/officeDocument/2006/relationships/hyperlink" Target="https://www.uptodate.com/contents/829#H2054815833" TargetMode="External"/><Relationship Id="rId45" Type="http://schemas.openxmlformats.org/officeDocument/2006/relationships/hyperlink" Target="https://www.uptodate.com/contents/6680#H38" TargetMode="External"/><Relationship Id="rId191" Type="http://schemas.openxmlformats.org/officeDocument/2006/relationships/hyperlink" Target="https://www.uptodate.com/contents/5#H59977009" TargetMode="External"/><Relationship Id="rId48" Type="http://schemas.openxmlformats.org/officeDocument/2006/relationships/hyperlink" Target="https://www.uptodate.com/contents/6680#H38" TargetMode="External"/><Relationship Id="rId187" Type="http://schemas.openxmlformats.org/officeDocument/2006/relationships/hyperlink" Target="https://www.uptodate.com/contents/9718#F55170020" TargetMode="External"/><Relationship Id="rId47" Type="http://schemas.openxmlformats.org/officeDocument/2006/relationships/hyperlink" Target="https://www.uptodate.com/contents/6680#H38" TargetMode="External"/><Relationship Id="rId186" Type="http://schemas.openxmlformats.org/officeDocument/2006/relationships/hyperlink" Target="https://www.uptodate.com/contents/9474#F55161134" TargetMode="External"/><Relationship Id="rId185" Type="http://schemas.openxmlformats.org/officeDocument/2006/relationships/hyperlink" Target="https://www.uptodate.com/contents/9104#F58119782" TargetMode="External"/><Relationship Id="rId49" Type="http://schemas.openxmlformats.org/officeDocument/2006/relationships/hyperlink" Target="https://www.uptodate.com/contents/990#H3998593790" TargetMode="External"/><Relationship Id="rId184" Type="http://schemas.openxmlformats.org/officeDocument/2006/relationships/hyperlink" Target="https://www.uptodate.com/contents/5#H59976497" TargetMode="External"/><Relationship Id="rId189" Type="http://schemas.openxmlformats.org/officeDocument/2006/relationships/hyperlink" Target="https://www.uptodate.com/contents/2061#H17" TargetMode="External"/><Relationship Id="rId188" Type="http://schemas.openxmlformats.org/officeDocument/2006/relationships/hyperlink" Target="https://www.uptodate.com/contents/2061#H57538184"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ai.uptodate.com/" TargetMode="External"/><Relationship Id="rId183" Type="http://schemas.openxmlformats.org/officeDocument/2006/relationships/hyperlink" Target="https://www.uptodate.com/contents/2036#H16" TargetMode="External"/><Relationship Id="rId32" Type="http://schemas.openxmlformats.org/officeDocument/2006/relationships/hyperlink" Target="https://ai.uptodate.com/" TargetMode="External"/><Relationship Id="rId182" Type="http://schemas.openxmlformats.org/officeDocument/2006/relationships/hyperlink" Target="https://ai.uptodate.com/" TargetMode="External"/><Relationship Id="rId35" Type="http://schemas.openxmlformats.org/officeDocument/2006/relationships/hyperlink" Target="https://www.uptodate.com/contents/3573#H1214470052" TargetMode="External"/><Relationship Id="rId181" Type="http://schemas.openxmlformats.org/officeDocument/2006/relationships/hyperlink" Target="https://ai.uptodate.com/" TargetMode="External"/><Relationship Id="rId34" Type="http://schemas.openxmlformats.org/officeDocument/2006/relationships/hyperlink" Target="https://ai.uptodate.com/" TargetMode="External"/><Relationship Id="rId180" Type="http://schemas.openxmlformats.org/officeDocument/2006/relationships/hyperlink" Target="https://ai.uptodate.com/" TargetMode="External"/><Relationship Id="rId37" Type="http://schemas.openxmlformats.org/officeDocument/2006/relationships/hyperlink" Target="https://www.uptodate.com/contents/3573#H24800711" TargetMode="External"/><Relationship Id="rId176" Type="http://schemas.openxmlformats.org/officeDocument/2006/relationships/hyperlink" Target="https://ai.uptodate.com/" TargetMode="External"/><Relationship Id="rId36" Type="http://schemas.openxmlformats.org/officeDocument/2006/relationships/hyperlink" Target="https://www.uptodate.com/contents/3573#H4198479993" TargetMode="External"/><Relationship Id="rId175" Type="http://schemas.openxmlformats.org/officeDocument/2006/relationships/hyperlink" Target="https://www.uptodate.com/contents/9718#F55170020" TargetMode="External"/><Relationship Id="rId39" Type="http://schemas.openxmlformats.org/officeDocument/2006/relationships/hyperlink" Target="https://www.uptodate.com/contents/6680#H38" TargetMode="External"/><Relationship Id="rId174" Type="http://schemas.openxmlformats.org/officeDocument/2006/relationships/hyperlink" Target="https://www.uptodate.com/contents/9474#F55161134" TargetMode="External"/><Relationship Id="rId38" Type="http://schemas.openxmlformats.org/officeDocument/2006/relationships/hyperlink" Target="https://www.uptodate.com/contents/3620#H3" TargetMode="External"/><Relationship Id="rId173" Type="http://schemas.openxmlformats.org/officeDocument/2006/relationships/hyperlink" Target="https://www.uptodate.com/contents/9104#F58119782" TargetMode="External"/><Relationship Id="rId179" Type="http://schemas.openxmlformats.org/officeDocument/2006/relationships/hyperlink" Target="https://ai.uptodate.com/" TargetMode="External"/><Relationship Id="rId178" Type="http://schemas.openxmlformats.org/officeDocument/2006/relationships/hyperlink" Target="https://ai.uptodate.com/" TargetMode="External"/><Relationship Id="rId177" Type="http://schemas.openxmlformats.org/officeDocument/2006/relationships/hyperlink" Target="https://ai.uptodate.com/" TargetMode="External"/><Relationship Id="rId20" Type="http://schemas.openxmlformats.org/officeDocument/2006/relationships/hyperlink" Target="https://www.uptodate.com/contents/3573#H4198479993" TargetMode="External"/><Relationship Id="rId22" Type="http://schemas.openxmlformats.org/officeDocument/2006/relationships/hyperlink" Target="https://www.uptodate.com/contents/3573#H4198479993" TargetMode="External"/><Relationship Id="rId21" Type="http://schemas.openxmlformats.org/officeDocument/2006/relationships/hyperlink" Target="https://www.uptodate.com/contents/3573#H4198479993" TargetMode="External"/><Relationship Id="rId24" Type="http://schemas.openxmlformats.org/officeDocument/2006/relationships/hyperlink" Target="https://www.uptodate.com/contents/3573#H4198479993" TargetMode="External"/><Relationship Id="rId23" Type="http://schemas.openxmlformats.org/officeDocument/2006/relationships/hyperlink" Target="https://www.uptodate.com/contents/3573#H24800711" TargetMode="External"/><Relationship Id="rId26" Type="http://schemas.openxmlformats.org/officeDocument/2006/relationships/hyperlink" Target="https://www.uptodate.com/contents/3573#H1214470052" TargetMode="External"/><Relationship Id="rId25" Type="http://schemas.openxmlformats.org/officeDocument/2006/relationships/hyperlink" Target="https://www.uptodate.com/contents/3573#H4198479993" TargetMode="External"/><Relationship Id="rId28" Type="http://schemas.openxmlformats.org/officeDocument/2006/relationships/hyperlink" Target="https://www.uptodate.com/contents/3573#H4198479993" TargetMode="External"/><Relationship Id="rId27" Type="http://schemas.openxmlformats.org/officeDocument/2006/relationships/hyperlink" Target="https://www.uptodate.com/contents/3573#H1214470052" TargetMode="External"/><Relationship Id="rId29" Type="http://schemas.openxmlformats.org/officeDocument/2006/relationships/hyperlink" Target="https://www.uptodate.com/contents/3573#H24800711" TargetMode="External"/><Relationship Id="rId11" Type="http://schemas.openxmlformats.org/officeDocument/2006/relationships/hyperlink" Target="https://www.uptodate.com/contents/3573#H4198479993" TargetMode="External"/><Relationship Id="rId10" Type="http://schemas.openxmlformats.org/officeDocument/2006/relationships/hyperlink" Target="https://www.uptodate.com/contents/3573#H4198479993" TargetMode="External"/><Relationship Id="rId13" Type="http://schemas.openxmlformats.org/officeDocument/2006/relationships/hyperlink" Target="https://www.uptodate.com/contents/3573#H1214470052" TargetMode="External"/><Relationship Id="rId12" Type="http://schemas.openxmlformats.org/officeDocument/2006/relationships/hyperlink" Target="https://www.uptodate.com/contents/3573#H24800711" TargetMode="External"/><Relationship Id="rId15" Type="http://schemas.openxmlformats.org/officeDocument/2006/relationships/hyperlink" Target="https://www.uptodate.com/contents/3573#H4198479993" TargetMode="External"/><Relationship Id="rId14" Type="http://schemas.openxmlformats.org/officeDocument/2006/relationships/hyperlink" Target="https://www.uptodate.com/contents/3573#H1214470052" TargetMode="External"/><Relationship Id="rId197" Type="http://schemas.openxmlformats.org/officeDocument/2006/relationships/hyperlink" Target="https://www.uptodate.com/contents/2061#H22" TargetMode="External"/><Relationship Id="rId17" Type="http://schemas.openxmlformats.org/officeDocument/2006/relationships/hyperlink" Target="https://www.uptodate.com/contents/3573#H24800711" TargetMode="External"/><Relationship Id="rId196" Type="http://schemas.openxmlformats.org/officeDocument/2006/relationships/hyperlink" Target="https://www.uptodate.com/contents/4813#H1399484734" TargetMode="External"/><Relationship Id="rId16" Type="http://schemas.openxmlformats.org/officeDocument/2006/relationships/hyperlink" Target="https://www.uptodate.com/contents/3573#H24800711" TargetMode="External"/><Relationship Id="rId195" Type="http://schemas.openxmlformats.org/officeDocument/2006/relationships/hyperlink" Target="https://www.uptodate.com/contents/2061#H18" TargetMode="External"/><Relationship Id="rId19" Type="http://schemas.openxmlformats.org/officeDocument/2006/relationships/hyperlink" Target="https://www.uptodate.com/contents/3573#H4198479993" TargetMode="External"/><Relationship Id="rId18" Type="http://schemas.openxmlformats.org/officeDocument/2006/relationships/hyperlink" Target="https://www.uptodate.com/contents/3620#H3" TargetMode="External"/><Relationship Id="rId84" Type="http://schemas.openxmlformats.org/officeDocument/2006/relationships/hyperlink" Target="https://www.uptodate.com/contents/958#H605777690" TargetMode="External"/><Relationship Id="rId83" Type="http://schemas.openxmlformats.org/officeDocument/2006/relationships/hyperlink" Target="https://www.uptodate.com/contents/958#H605777690" TargetMode="External"/><Relationship Id="rId86" Type="http://schemas.openxmlformats.org/officeDocument/2006/relationships/hyperlink" Target="https://www.uptodate.com/contents/958#H8776496" TargetMode="External"/><Relationship Id="rId85" Type="http://schemas.openxmlformats.org/officeDocument/2006/relationships/hyperlink" Target="https://www.uptodate.com/contents/958#H605777690"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5#H59977009"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958#H605777690" TargetMode="External"/><Relationship Id="rId82" Type="http://schemas.openxmlformats.org/officeDocument/2006/relationships/hyperlink" Target="https://www.uptodate.com/contents/958#H605777690" TargetMode="External"/><Relationship Id="rId81" Type="http://schemas.openxmlformats.org/officeDocument/2006/relationships/hyperlink" Target="https://www.uptodate.com/contents/958#H6057776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9718" TargetMode="External"/><Relationship Id="rId4" Type="http://schemas.openxmlformats.org/officeDocument/2006/relationships/numbering" Target="numbering.xml"/><Relationship Id="rId148" Type="http://schemas.openxmlformats.org/officeDocument/2006/relationships/hyperlink" Target="https://uptodate.com/contents/9718" TargetMode="External"/><Relationship Id="rId9" Type="http://schemas.openxmlformats.org/officeDocument/2006/relationships/hyperlink" Target="https://www.uptodate.com/contents/3573#H24800711" TargetMode="External"/><Relationship Id="rId143" Type="http://schemas.openxmlformats.org/officeDocument/2006/relationships/hyperlink" Target="https://www.uptodate.com/contents/2036#H16" TargetMode="External"/><Relationship Id="rId142" Type="http://schemas.openxmlformats.org/officeDocument/2006/relationships/hyperlink" Target="https://www.uptodate.com/contents/2036#H16" TargetMode="External"/><Relationship Id="rId141" Type="http://schemas.openxmlformats.org/officeDocument/2006/relationships/hyperlink" Target="https://uptodate.com/contents/9718" TargetMode="External"/><Relationship Id="rId140" Type="http://schemas.openxmlformats.org/officeDocument/2006/relationships/hyperlink" Target="https://uptodate.com/contents/9718" TargetMode="External"/><Relationship Id="rId5" Type="http://schemas.openxmlformats.org/officeDocument/2006/relationships/styles" Target="styles.xml"/><Relationship Id="rId147" Type="http://schemas.openxmlformats.org/officeDocument/2006/relationships/hyperlink" Target="https://www.uptodate.com/contents/4813#H1399484734" TargetMode="External"/><Relationship Id="rId6" Type="http://schemas.openxmlformats.org/officeDocument/2006/relationships/hyperlink" Target="https://www.uptodate.com/contents/3573#H1214470052" TargetMode="External"/><Relationship Id="rId146" Type="http://schemas.openxmlformats.org/officeDocument/2006/relationships/hyperlink" Target="https://www.uptodate.com/contents/4813#H1399484734" TargetMode="External"/><Relationship Id="rId7" Type="http://schemas.openxmlformats.org/officeDocument/2006/relationships/hyperlink" Target="https://www.uptodate.com/contents/3573#H1214470052" TargetMode="External"/><Relationship Id="rId145" Type="http://schemas.openxmlformats.org/officeDocument/2006/relationships/hyperlink" Target="https://www.uptodate.com/contents/2061#H18" TargetMode="External"/><Relationship Id="rId8" Type="http://schemas.openxmlformats.org/officeDocument/2006/relationships/hyperlink" Target="https://www.uptodate.com/contents/3573#H4198479993" TargetMode="External"/><Relationship Id="rId144" Type="http://schemas.openxmlformats.org/officeDocument/2006/relationships/hyperlink" Target="https://www.uptodate.com/contents/5#H59976497" TargetMode="External"/><Relationship Id="rId73" Type="http://schemas.openxmlformats.org/officeDocument/2006/relationships/hyperlink" Target="https://www.uptodate.com/contents/958#H605777690" TargetMode="External"/><Relationship Id="rId72" Type="http://schemas.openxmlformats.org/officeDocument/2006/relationships/hyperlink" Target="https://www.uptodate.com/contents/958#H8776496" TargetMode="External"/><Relationship Id="rId75" Type="http://schemas.openxmlformats.org/officeDocument/2006/relationships/hyperlink" Target="https://www.uptodate.com/contents/958#H8776496" TargetMode="External"/><Relationship Id="rId74" Type="http://schemas.openxmlformats.org/officeDocument/2006/relationships/hyperlink" Target="https://www.uptodate.com/contents/958#H605777690" TargetMode="External"/><Relationship Id="rId77" Type="http://schemas.openxmlformats.org/officeDocument/2006/relationships/hyperlink" Target="https://www.uptodate.com/contents/6835#H4229231146" TargetMode="External"/><Relationship Id="rId76" Type="http://schemas.openxmlformats.org/officeDocument/2006/relationships/hyperlink" Target="https://www.uptodate.com/contents/6835#H4229231146" TargetMode="External"/><Relationship Id="rId79" Type="http://schemas.openxmlformats.org/officeDocument/2006/relationships/hyperlink" Target="https://www.uptodate.com/contents/127551#H2064052897" TargetMode="External"/><Relationship Id="rId78" Type="http://schemas.openxmlformats.org/officeDocument/2006/relationships/hyperlink" Target="https://www.uptodate.com/contents/127551#H2064052897" TargetMode="External"/><Relationship Id="rId71" Type="http://schemas.openxmlformats.org/officeDocument/2006/relationships/hyperlink" Target="https://www.uptodate.com/contents/958#H8776496" TargetMode="External"/><Relationship Id="rId70" Type="http://schemas.openxmlformats.org/officeDocument/2006/relationships/hyperlink" Target="https://www.uptodate.com/contents/958#H605777690" TargetMode="External"/><Relationship Id="rId139" Type="http://schemas.openxmlformats.org/officeDocument/2006/relationships/hyperlink" Target="https://www.uptodate.com/contents/5#H59976497" TargetMode="External"/><Relationship Id="rId138" Type="http://schemas.openxmlformats.org/officeDocument/2006/relationships/hyperlink" Target="https://www.uptodate.com/contents/2036#H16" TargetMode="External"/><Relationship Id="rId137" Type="http://schemas.openxmlformats.org/officeDocument/2006/relationships/hyperlink" Target="https://uptodate.com/contents/9718" TargetMode="External"/><Relationship Id="rId132" Type="http://schemas.openxmlformats.org/officeDocument/2006/relationships/hyperlink" Target="https://www.uptodate.com/contents/9474#F55161134" TargetMode="External"/><Relationship Id="rId131" Type="http://schemas.openxmlformats.org/officeDocument/2006/relationships/hyperlink" Target="https://www.uptodate.com/contents/9104#F58119782" TargetMode="External"/><Relationship Id="rId130" Type="http://schemas.openxmlformats.org/officeDocument/2006/relationships/hyperlink" Target="https://www.uptodate.com/contents/5#H59976497" TargetMode="External"/><Relationship Id="rId136" Type="http://schemas.openxmlformats.org/officeDocument/2006/relationships/hyperlink" Target="https://www.uptodate.com/contents/2036#H27" TargetMode="External"/><Relationship Id="rId135" Type="http://schemas.openxmlformats.org/officeDocument/2006/relationships/hyperlink" Target="https://www.uptodate.com/contents/5#H1860854596" TargetMode="External"/><Relationship Id="rId134" Type="http://schemas.openxmlformats.org/officeDocument/2006/relationships/hyperlink" Target="https://uptodate.com/contents/9718" TargetMode="External"/><Relationship Id="rId133" Type="http://schemas.openxmlformats.org/officeDocument/2006/relationships/hyperlink" Target="https://www.uptodate.com/contents/9718#F55170020" TargetMode="External"/><Relationship Id="rId62" Type="http://schemas.openxmlformats.org/officeDocument/2006/relationships/hyperlink" Target="https://www.uptodate.com/contents/6680#H38" TargetMode="External"/><Relationship Id="rId61" Type="http://schemas.openxmlformats.org/officeDocument/2006/relationships/hyperlink" Target="https://ai.uptodate.com/" TargetMode="External"/><Relationship Id="rId64" Type="http://schemas.openxmlformats.org/officeDocument/2006/relationships/hyperlink" Target="https://www.uptodate.com/contents/958#H605777690" TargetMode="External"/><Relationship Id="rId63" Type="http://schemas.openxmlformats.org/officeDocument/2006/relationships/hyperlink" Target="https://www.uptodate.com/contents/990#H3998593790" TargetMode="External"/><Relationship Id="rId66" Type="http://schemas.openxmlformats.org/officeDocument/2006/relationships/hyperlink" Target="https://www.uptodate.com/contents/958#H605777690" TargetMode="External"/><Relationship Id="rId172" Type="http://schemas.openxmlformats.org/officeDocument/2006/relationships/hyperlink" Target="https://www.uptodate.com/contents/5#H59976497" TargetMode="External"/><Relationship Id="rId65" Type="http://schemas.openxmlformats.org/officeDocument/2006/relationships/hyperlink" Target="https://www.uptodate.com/contents/958#H8776496" TargetMode="External"/><Relationship Id="rId171" Type="http://schemas.openxmlformats.org/officeDocument/2006/relationships/hyperlink" Target="https://www.uptodate.com/contents/2036#H16" TargetMode="External"/><Relationship Id="rId68" Type="http://schemas.openxmlformats.org/officeDocument/2006/relationships/hyperlink" Target="https://www.uptodate.com/contents/958#H3011471067" TargetMode="External"/><Relationship Id="rId170" Type="http://schemas.openxmlformats.org/officeDocument/2006/relationships/hyperlink" Target="https://www.uptodate.com/contents/2036#H16" TargetMode="External"/><Relationship Id="rId67" Type="http://schemas.openxmlformats.org/officeDocument/2006/relationships/hyperlink" Target="https://www.uptodate.com/contents/958#H8776496" TargetMode="External"/><Relationship Id="rId60" Type="http://schemas.openxmlformats.org/officeDocument/2006/relationships/hyperlink" Target="https://ai.uptodate.com/" TargetMode="External"/><Relationship Id="rId165" Type="http://schemas.openxmlformats.org/officeDocument/2006/relationships/hyperlink" Target="https://www.uptodate.com/contents/2061#H17" TargetMode="External"/><Relationship Id="rId69" Type="http://schemas.openxmlformats.org/officeDocument/2006/relationships/hyperlink" Target="https://www.uptodate.com/contents/958#H730887645" TargetMode="External"/><Relationship Id="rId164" Type="http://schemas.openxmlformats.org/officeDocument/2006/relationships/hyperlink" Target="https://www.uptodate.com/contents/2061#H57538184" TargetMode="External"/><Relationship Id="rId163" Type="http://schemas.openxmlformats.org/officeDocument/2006/relationships/hyperlink" Target="https://www.uptodate.com/contents/2061#H57538184" TargetMode="External"/><Relationship Id="rId162" Type="http://schemas.openxmlformats.org/officeDocument/2006/relationships/hyperlink" Target="https://www.uptodate.com/contents/2061#H22" TargetMode="External"/><Relationship Id="rId169" Type="http://schemas.openxmlformats.org/officeDocument/2006/relationships/hyperlink" Target="https://uptodate.com/contents/9718" TargetMode="External"/><Relationship Id="rId168" Type="http://schemas.openxmlformats.org/officeDocument/2006/relationships/hyperlink" Target="https://www.uptodate.com/contents/829#H2054815833" TargetMode="External"/><Relationship Id="rId167" Type="http://schemas.openxmlformats.org/officeDocument/2006/relationships/hyperlink" Target="https://www.uptodate.com/contents/5#H59977009" TargetMode="External"/><Relationship Id="rId166" Type="http://schemas.openxmlformats.org/officeDocument/2006/relationships/hyperlink" Target="https://www.uptodate.com/contents/5#H59977009" TargetMode="External"/><Relationship Id="rId51" Type="http://schemas.openxmlformats.org/officeDocument/2006/relationships/hyperlink" Target="https://www.uptodate.com/contents/6680#H38" TargetMode="External"/><Relationship Id="rId50" Type="http://schemas.openxmlformats.org/officeDocument/2006/relationships/hyperlink" Target="https://www.uptodate.com/contents/6680#H38" TargetMode="External"/><Relationship Id="rId53" Type="http://schemas.openxmlformats.org/officeDocument/2006/relationships/hyperlink" Target="https://www.uptodate.com/contents/6680#H38" TargetMode="External"/><Relationship Id="rId52" Type="http://schemas.openxmlformats.org/officeDocument/2006/relationships/hyperlink" Target="https://www.uptodate.com/contents/990#H3998593790" TargetMode="External"/><Relationship Id="rId55" Type="http://schemas.openxmlformats.org/officeDocument/2006/relationships/hyperlink" Target="https://www.uptodate.com/contents/6680#H38" TargetMode="External"/><Relationship Id="rId161" Type="http://schemas.openxmlformats.org/officeDocument/2006/relationships/hyperlink" Target="https://www.uptodate.com/contents/2061#H22" TargetMode="External"/><Relationship Id="rId54" Type="http://schemas.openxmlformats.org/officeDocument/2006/relationships/hyperlink" Target="https://www.uptodate.com/contents/6680#H38" TargetMode="External"/><Relationship Id="rId160" Type="http://schemas.openxmlformats.org/officeDocument/2006/relationships/hyperlink" Target="https://www.uptodate.com/contents/9718#F55170020" TargetMode="External"/><Relationship Id="rId57" Type="http://schemas.openxmlformats.org/officeDocument/2006/relationships/hyperlink" Target="https://ai.uptodate.com/" TargetMode="External"/><Relationship Id="rId56" Type="http://schemas.openxmlformats.org/officeDocument/2006/relationships/hyperlink" Target="https://www.uptodate.com/contents/990#H3998593790" TargetMode="External"/><Relationship Id="rId159" Type="http://schemas.openxmlformats.org/officeDocument/2006/relationships/hyperlink" Target="https://www.uptodate.com/contents/9474#F55161134" TargetMode="External"/><Relationship Id="rId59" Type="http://schemas.openxmlformats.org/officeDocument/2006/relationships/hyperlink" Target="https://ai.uptodate.com/" TargetMode="External"/><Relationship Id="rId154" Type="http://schemas.openxmlformats.org/officeDocument/2006/relationships/hyperlink" Target="https://uptodate.com/contents/9718" TargetMode="External"/><Relationship Id="rId58" Type="http://schemas.openxmlformats.org/officeDocument/2006/relationships/hyperlink" Target="https://ai.uptodate.com/" TargetMode="External"/><Relationship Id="rId153" Type="http://schemas.openxmlformats.org/officeDocument/2006/relationships/hyperlink" Target="https://uptodate.com/contents/9718" TargetMode="External"/><Relationship Id="rId152" Type="http://schemas.openxmlformats.org/officeDocument/2006/relationships/hyperlink" Target="https://www.uptodate.com/contents/829#H2054815833" TargetMode="External"/><Relationship Id="rId151" Type="http://schemas.openxmlformats.org/officeDocument/2006/relationships/hyperlink" Target="https://www.uptodate.com/contents/5#H59977009" TargetMode="External"/><Relationship Id="rId158" Type="http://schemas.openxmlformats.org/officeDocument/2006/relationships/hyperlink" Target="https://www.uptodate.com/contents/9104#F58119782" TargetMode="External"/><Relationship Id="rId157" Type="http://schemas.openxmlformats.org/officeDocument/2006/relationships/hyperlink" Target="https://www.uptodate.com/contents/5#H59976497" TargetMode="External"/><Relationship Id="rId156" Type="http://schemas.openxmlformats.org/officeDocument/2006/relationships/hyperlink" Target="https://www.uptodate.com/contents/2036#H16" TargetMode="External"/><Relationship Id="rId155" Type="http://schemas.openxmlformats.org/officeDocument/2006/relationships/hyperlink" Target="https://www.uptodate.com/contents/2036#H16" TargetMode="External"/><Relationship Id="rId107" Type="http://schemas.openxmlformats.org/officeDocument/2006/relationships/hyperlink" Target="https://www.uptodate.com/contents/2036#H16" TargetMode="External"/><Relationship Id="rId106" Type="http://schemas.openxmlformats.org/officeDocument/2006/relationships/hyperlink" Target="https://www.uptodate.com/contents/2036#H16" TargetMode="External"/><Relationship Id="rId105" Type="http://schemas.openxmlformats.org/officeDocument/2006/relationships/hyperlink" Target="https://uptodate.com/contents/9718" TargetMode="External"/><Relationship Id="rId104" Type="http://schemas.openxmlformats.org/officeDocument/2006/relationships/hyperlink" Target="https://uptodate.com/contents/9718" TargetMode="External"/><Relationship Id="rId109" Type="http://schemas.openxmlformats.org/officeDocument/2006/relationships/hyperlink" Target="https://www.uptodate.com/contents/9104#F58119782" TargetMode="External"/><Relationship Id="rId108" Type="http://schemas.openxmlformats.org/officeDocument/2006/relationships/hyperlink" Target="https://www.uptodate.com/contents/5#H59976497" TargetMode="External"/><Relationship Id="rId103" Type="http://schemas.openxmlformats.org/officeDocument/2006/relationships/hyperlink" Target="https://uptodate.com/contents/9718" TargetMode="External"/><Relationship Id="rId102" Type="http://schemas.openxmlformats.org/officeDocument/2006/relationships/hyperlink" Target="https://uptodate.com/contents/9718" TargetMode="External"/><Relationship Id="rId101" Type="http://schemas.openxmlformats.org/officeDocument/2006/relationships/hyperlink" Target="https://uptodate.com/contents/9718" TargetMode="External"/><Relationship Id="rId100" Type="http://schemas.openxmlformats.org/officeDocument/2006/relationships/hyperlink" Target="https://uptodate.com/contents/9718" TargetMode="External"/><Relationship Id="rId129" Type="http://schemas.openxmlformats.org/officeDocument/2006/relationships/hyperlink" Target="https://www.uptodate.com/contents/2036#H16" TargetMode="External"/><Relationship Id="rId128" Type="http://schemas.openxmlformats.org/officeDocument/2006/relationships/hyperlink" Target="https://uptodate.com/contents/9718" TargetMode="External"/><Relationship Id="rId127" Type="http://schemas.openxmlformats.org/officeDocument/2006/relationships/hyperlink" Target="https://www.uptodate.com/contents/5#H59976497" TargetMode="External"/><Relationship Id="rId126" Type="http://schemas.openxmlformats.org/officeDocument/2006/relationships/hyperlink" Target="https://www.uptodate.com/contents/829#H2054815833" TargetMode="External"/><Relationship Id="rId121" Type="http://schemas.openxmlformats.org/officeDocument/2006/relationships/hyperlink" Target="https://www.uptodate.com/contents/2061#H29" TargetMode="External"/><Relationship Id="rId120" Type="http://schemas.openxmlformats.org/officeDocument/2006/relationships/hyperlink" Target="https://www.uptodate.com/contents/2061#H17" TargetMode="External"/><Relationship Id="rId125" Type="http://schemas.openxmlformats.org/officeDocument/2006/relationships/hyperlink" Target="https://www.uptodate.com/contents/5#H59977009" TargetMode="External"/><Relationship Id="rId124" Type="http://schemas.openxmlformats.org/officeDocument/2006/relationships/hyperlink" Target="https://www.uptodate.com/contents/5#H59976497" TargetMode="External"/><Relationship Id="rId123" Type="http://schemas.openxmlformats.org/officeDocument/2006/relationships/hyperlink" Target="https://www.uptodate.com/contents/2036#H16" TargetMode="External"/><Relationship Id="rId122" Type="http://schemas.openxmlformats.org/officeDocument/2006/relationships/hyperlink" Target="https://uptodate.com/contents/9718" TargetMode="External"/><Relationship Id="rId95" Type="http://schemas.openxmlformats.org/officeDocument/2006/relationships/hyperlink" Target="https://www.uptodate.com/contents/958#H8776496" TargetMode="External"/><Relationship Id="rId94" Type="http://schemas.openxmlformats.org/officeDocument/2006/relationships/hyperlink" Target="https://www.uptodate.com/contents/958#H605777690" TargetMode="External"/><Relationship Id="rId97" Type="http://schemas.openxmlformats.org/officeDocument/2006/relationships/hyperlink" Target="https://www.uptodate.com/contents/958#H730887645" TargetMode="External"/><Relationship Id="rId96" Type="http://schemas.openxmlformats.org/officeDocument/2006/relationships/hyperlink" Target="https://www.uptodate.com/contents/958#H3011471067" TargetMode="External"/><Relationship Id="rId99" Type="http://schemas.openxmlformats.org/officeDocument/2006/relationships/hyperlink" Target="https://www.uptodate.com/contents/127551#H2064052897" TargetMode="External"/><Relationship Id="rId98" Type="http://schemas.openxmlformats.org/officeDocument/2006/relationships/hyperlink" Target="https://www.uptodate.com/contents/6835#H4229231146"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ai.uptodate.com/" TargetMode="External"/><Relationship Id="rId92" Type="http://schemas.openxmlformats.org/officeDocument/2006/relationships/hyperlink" Target="https://ai.uptodate.com/" TargetMode="External"/><Relationship Id="rId118" Type="http://schemas.openxmlformats.org/officeDocument/2006/relationships/hyperlink" Target="https://www.uptodate.com/contents/2036#H16" TargetMode="External"/><Relationship Id="rId117" Type="http://schemas.openxmlformats.org/officeDocument/2006/relationships/hyperlink" Target="https://www.uptodate.com/contents/9718#F55170020" TargetMode="External"/><Relationship Id="rId116" Type="http://schemas.openxmlformats.org/officeDocument/2006/relationships/hyperlink" Target="https://www.uptodate.com/contents/9474#F55161134" TargetMode="External"/><Relationship Id="rId115" Type="http://schemas.openxmlformats.org/officeDocument/2006/relationships/hyperlink" Target="https://www.uptodate.com/contents/9104#F58119782" TargetMode="External"/><Relationship Id="rId119" Type="http://schemas.openxmlformats.org/officeDocument/2006/relationships/hyperlink" Target="https://www.uptodate.com/contents/2061#H57538184" TargetMode="External"/><Relationship Id="rId110" Type="http://schemas.openxmlformats.org/officeDocument/2006/relationships/hyperlink" Target="https://www.uptodate.com/contents/9474#F55161134" TargetMode="External"/><Relationship Id="rId114" Type="http://schemas.openxmlformats.org/officeDocument/2006/relationships/hyperlink" Target="https://www.uptodate.com/contents/5#H59976497" TargetMode="External"/><Relationship Id="rId113" Type="http://schemas.openxmlformats.org/officeDocument/2006/relationships/hyperlink" Target="https://www.uptodate.com/contents/2036#H16" TargetMode="External"/><Relationship Id="rId112" Type="http://schemas.openxmlformats.org/officeDocument/2006/relationships/hyperlink" Target="https://uptodate.com/contents/9718" TargetMode="External"/><Relationship Id="rId111" Type="http://schemas.openxmlformats.org/officeDocument/2006/relationships/hyperlink" Target="https://www.uptodate.com/contents/9718#F55170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