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2025-08-01</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introduction"/>
    <w:p>
      <w:pPr>
        <w:pStyle w:val="Heading1"/>
      </w:pPr>
      <w:r>
        <w:t xml:space="preserve">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 Typically, the midsagittal contour of the tongue is imaged, although 3D systems exist</w:t>
      </w:r>
      <w:r>
        <w:t xml:space="preserve"> </w:t>
      </w:r>
      <w:r>
        <w:t xml:space="preserve">(Lulich, Berkson, and Jong 2018)</w:t>
      </w:r>
      <w:r>
        <w:t xml:space="preserve">. Recent developments in machine learning 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 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 See</w:t>
      </w:r>
      <w:r>
        <w:t xml:space="preserve"> </w:t>
      </w:r>
      <w:hyperlink w:anchor="fig-knots">
        <w:r>
          <w:rPr>
            <w:rStyle w:val="Hyperlink"/>
          </w:rPr>
          <w:t xml:space="preserve">Figure 1</w:t>
        </w:r>
      </w:hyperlink>
      <w:r>
        <w:t xml:space="preserve"> </w:t>
      </w:r>
      <w:r>
        <w:t xml:space="preserve">for a schematic illustration of the position of the tracked knots. An advantage of DLC-tracked data over the traditional fan-line coordinate system is that (in theory) specific (moving) flesh points are tracked rather than simply the intersection of the tongue contour with fixed radii from the fan-line system. This makes DLC-tracked data resemble data obtained with electromagnetic articulography (EMA). 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polar coordinates</w:t>
      </w:r>
      <w:r>
        <w:t xml:space="preserve"> </w:t>
      </w:r>
      <w:r>
        <w:t xml:space="preserve">(Coretta 2018b, n.d.)</w:t>
      </w:r>
      <w:r>
        <w:t xml:space="preserve">, are not appropriate with DLC-tracked data, due to the tongue contour</w:t>
      </w:r>
      <w:r>
        <w:t xml:space="preserve"> </w:t>
      </w:r>
      <w:r>
        <w:t xml:space="preserve">“curling”</w:t>
      </w:r>
      <w:r>
        <w:t xml:space="preserve"> </w:t>
      </w:r>
      <w:r>
        <w:t xml:space="preserve">onto itself along the root. This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 The contours clearly curl onto themselves along the root (on the left of the contour). The red smooths represent a LOESS smooth, calculated for Y along X. This approach clearly miscalculates the smooth for the back half of the tongue, simply because there are two Y values for the same X value, and the procedure, in that case, returns something like an average of the two values. Generalised Additive Models (introduced in the following section) work on the same principle and hence would produce the same type of error.</w:t>
      </w:r>
    </w:p>
    <w:p>
      <w:pPr>
        <w:pStyle w:val="BodyText"/>
      </w:pPr>
      <w:r>
        <w:t xml:space="preserve">While using polar coordinates would work mathematically,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 The figure shows the tracked points from the entire data set of that speaker and each of the 11 DLC-tracked knots is shown in a different colour. The knots appear to move along well defined vectors (with the exception of the fifth knot, which can be regarded as the pivot knot), represented in the figure by black segments. The vectors of articulatory movement make sense in light of the muscular anatomy of the tongue</w:t>
      </w:r>
      <w:r>
        <w:t xml:space="preserve"> </w:t>
      </w:r>
      <w:r>
        <w:t xml:space="preserve">(Pettersson and Wood 1987; Hoole 1999; Honda 1996; Wrench 2024)</w:t>
      </w:r>
      <w:r>
        <w:t xml:space="preserve">. The polar radii in grey radiate from a manually selected origin with coordinates (100, 30). While the radii would correctly capture the position of each knot on the bi-dimensional space, the modelling of displacement is constrained by the direction of the radii. We don’t consider this constraint to be fatal, but Generalised Additive Models allow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Illustrating vectors of articulatory movement vs polar coordinates.</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 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 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p>
    <w:bookmarkEnd w:id="35"/>
    <w:bookmarkStart w:id="82" w:name="sec-gam"/>
    <w:p>
      <w:pPr>
        <w:pStyle w:val="Heading1"/>
      </w:pPr>
      <w:r>
        <w:t xml:space="preserve">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 GAMs are built upon smoothing splines functions, the components of which are multiplied by estimated coefficients to reconstruct an arbitrary time-changing curve. 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 Multivariate Generalised Additive Models (MGAMs) are GAMs with more than one outcome variable.</w:t>
      </w:r>
    </w:p>
    <w:p>
      <w:pPr>
        <w:pStyle w:val="BodyText"/>
      </w:pPr>
      <w:r>
        <w:t xml:space="preserve">As mentioned in the Introduction, the data tracked by DeepLabCut consists of the position on the horizontal (</w:t>
      </w:r>
      <w:r>
        <w:rPr>
          <w:i/>
          <w:iCs/>
        </w:rPr>
        <w:t xml:space="preserve">x</w:t>
      </w:r>
      <w:r>
        <w:t xml:space="preserve">) and vertical (</w:t>
      </w:r>
      <w:r>
        <w:rPr>
          <w:i/>
          <w:iCs/>
        </w:rPr>
        <w:t xml:space="preserve">y</w:t>
      </w:r>
      <w:r>
        <w:t xml:space="preserve">) axes of fourteen knots. 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shown tongue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 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 The X/Y coordinates thus form</w:t>
      </w:r>
      <w:r>
        <w:t xml:space="preserve"> </w:t>
      </w:r>
      <w:r>
        <w:t xml:space="preserve">“trajectories”</w:t>
      </w:r>
      <w:r>
        <w:t xml:space="preserve"> </w:t>
      </w:r>
      <w:r>
        <w:t xml:space="preserve">along the knots. These X/Y trajectories are the ones that can be modelled using MGAMs and Multiple Functional Principal Component Analysis (MFPCA): in both cases, the X/Y trajectories are modelled as two variables changing along knot number. 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 In this section, we will illustrate GAMs applied to the X/Y trajectories along the knots and how we can reconstruct the tongue contour from the modelled trajectories. We will use data from two case studies of coarticulation: vowel consonant (VC) coarticulation based on C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concerned the position of the tongue root during the duration of vowels followed by voiceless or voiced stops; in this paper we focus on tongue contours at the vowel offset). 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 In the /pVCV/ words, C was /t, d, k, ɡ/ and V was /a, o, u/ (in each word, the two vowels were identical, so for example</w:t>
      </w:r>
      <w:r>
        <w:t xml:space="preserve"> </w:t>
      </w:r>
      <w:r>
        <w:rPr>
          <w:i/>
          <w:iCs/>
        </w:rPr>
        <w:t xml:space="preserve">pata, poto, putu</w:t>
      </w:r>
      <w:r>
        <w:t xml:space="preserve">). 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 Spline data was extracted using a custom DeepLabCut (DLC) model developed by</w:t>
      </w:r>
      <w:r>
        <w:t xml:space="preserve"> </w:t>
      </w:r>
      <w:r>
        <w:t xml:space="preserve">Wrench and Balch-Tomes (2022)</w:t>
      </w:r>
      <w:r>
        <w:t xml:space="preserve">. 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 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 These steps are documented in the paper’s notebook</w:t>
      </w:r>
      <w:r>
        <w:t xml:space="preserve"> </w:t>
      </w:r>
      <w:hyperlink r:id="rId46">
        <w:r>
          <w:rPr>
            <w:rStyle w:val="Hyperlink"/>
          </w:rPr>
          <w:t xml:space="preserve">Prepare data</w:t>
        </w:r>
      </w:hyperlink>
      <w:r>
        <w:t xml:space="preserve">.</w:t>
      </w:r>
    </w:p>
    <w:p>
      <w:pPr>
        <w:pStyle w:val="BodyText"/>
      </w:pPr>
      <w:r>
        <w:t xml:space="preserve">The following code chunk reads the filtered data. 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 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 Crucially, the variation in tongue shape at vowel offset (or closure onset) across vowels contexts is higher in the coronal than in the velar contexts. 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star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 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 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 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 In the model below, we are fitting a multivariate GAM to the</w:t>
      </w:r>
      <w:r>
        <w:t xml:space="preserve"> </w:t>
      </w:r>
      <w:r>
        <w:rPr>
          <w:i/>
          <w:iCs/>
        </w:rPr>
        <w:t xml:space="preserve">z</w:t>
      </w:r>
      <w:r>
        <w:t xml:space="preserve">-scored X and Y coordinates. 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 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 What we are normally interested in is the reconstructed tongue contours and in which locations they are similar or different across conditions. 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 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 We do this with</w:t>
      </w:r>
      <w:r>
        <w:t xml:space="preserve"> </w:t>
      </w:r>
      <w:r>
        <w:rPr>
          <w:rStyle w:val="VerbatimChar"/>
        </w:rPr>
        <w:t xml:space="preserve">expand_grid()</w:t>
      </w:r>
      <w:r>
        <w:t xml:space="preserve"> </w:t>
      </w:r>
      <w:r>
        <w:t xml:space="preserve">in the following code chunk. 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 We then create the required column</w:t>
      </w:r>
      <w:r>
        <w:t xml:space="preserve"> </w:t>
      </w:r>
      <w:r>
        <w:rPr>
          <w:rStyle w:val="VerbatimChar"/>
        </w:rPr>
        <w:t xml:space="preserve">vow_place_lang</w:t>
      </w:r>
      <w:r>
        <w:t xml:space="preserve"> </w:t>
      </w:r>
      <w:r>
        <w:t xml:space="preserve">by appending the language name based on the speaker ID. 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 This function requires the GAM model object (</w:t>
      </w:r>
      <w:r>
        <w:rPr>
          <w:rStyle w:val="VerbatimChar"/>
        </w:rPr>
        <w:t xml:space="preserve">voff_gam</w:t>
      </w:r>
      <w:r>
        <w:t xml:space="preserve">) and the prediction grid (</w:t>
      </w:r>
      <w:r>
        <w:rPr>
          <w:rStyle w:val="VerbatimChar"/>
        </w:rPr>
        <w:t xml:space="preserve">frame_off</w:t>
      </w:r>
      <w:r>
        <w:t xml:space="preserve">). We also obtain the standard error of the prediction which we will use to calculate Confidence Intervals in the next step. Since we have used factor smooths for speaker, we now have to manually exclude these smooths from the prediction to obtain a</w:t>
      </w:r>
      <w:r>
        <w:t xml:space="preserve"> </w:t>
      </w:r>
      <w:r>
        <w:t xml:space="preserve">“population”</w:t>
      </w:r>
      <w:r>
        <w:t xml:space="preserve"> </w:t>
      </w:r>
      <w:r>
        <w:t xml:space="preserve">level prediction. 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 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 We do so here with</w:t>
      </w:r>
      <w:r>
        <w:t xml:space="preserve"> </w:t>
      </w:r>
      <w:r>
        <w:rPr>
          <w:rStyle w:val="VerbatimChar"/>
        </w:rPr>
        <w:t xml:space="preserve">bind_cols()</w:t>
      </w:r>
      <w:r>
        <w:t xml:space="preserve"> </w:t>
      </w:r>
      <w:r>
        <w:t xml:space="preserve">from the dplyr package. Note that</w:t>
      </w:r>
      <w:r>
        <w:t xml:space="preserve"> </w:t>
      </w:r>
      <w:r>
        <w:rPr>
          <w:rStyle w:val="VerbatimChar"/>
        </w:rPr>
        <w:t xml:space="preserve">voff_gam_p</w:t>
      </w:r>
      <w:r>
        <w:t xml:space="preserve"> </w:t>
      </w:r>
      <w:r>
        <w:t xml:space="preserve">contains predictions for each level of the factor smooths, despite these being excluded from prediction. 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 This means that you can pick any Italian and Polish speaker in the predicted data frame. We do so by filtering with</w:t>
      </w:r>
      <w:r>
        <w:t xml:space="preserve"> </w:t>
      </w:r>
      <w:r>
        <w:rPr>
          <w:rStyle w:val="VerbatimChar"/>
        </w:rPr>
        <w:t xml:space="preserve">filter(speaker %in% c("it01", "pl02"))</w:t>
      </w:r>
      <w:r>
        <w:t xml:space="preserve">, but any other speaker would lead to the same output. We also calculate the lower and upper limits of 95% Confidence intervals (CI) for each coordinate. 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 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 Moreover, the vowels /a, o/ have a similar coarticulatory effect on the tongue contour. With velar consonants, we observe less coarticulation from the preceding vowel (an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Emphaticness</w:t>
      </w:r>
    </w:p>
    <w:p>
      <w:pPr>
        <w:pStyle w:val="FirstParagraph"/>
      </w:pPr>
      <w:r>
        <w:t xml:space="preserve">The second case study is about consonant</w:t>
      </w:r>
      <w:r>
        <w:t xml:space="preserve"> </w:t>
      </w:r>
      <w:r>
        <w:t xml:space="preserve">“emphaticness”</w:t>
      </w:r>
      <w:r>
        <w:t xml:space="preserve"> </w:t>
      </w:r>
      <w:r>
        <w:t xml:space="preserve">in Lebanese Arabic. The data is from</w:t>
      </w:r>
      <w:r>
        <w:t xml:space="preserve"> </w:t>
      </w:r>
      <w:r>
        <w:t xml:space="preserve">Sakr (2025)</w:t>
      </w:r>
      <w:r>
        <w:t xml:space="preserve">. 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 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 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 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 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 It consists of UTI recordings, by 5 participants, of CVb stimuli. The onset was either an emphatic or an unemphatic (</w:t>
      </w:r>
      <w:r>
        <w:t xml:space="preserve">‘plain’</w:t>
      </w:r>
      <w:r>
        <w:t xml:space="preserve">), voiced or voiceless, alveolar, plosive or fricative /t, ṭ, d, ḍ, s, ṣ, z, ẓ/; when talking about a plain/emphatic pair, we denote them /T, D, S, Z/. 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or exact phonetic realisations. The coda was the voiced bilabial plosive /b/. Each recording consisted of four stimuli in randomized order, covering forty syllables, in five repetitions; for a total of 1000 recordings. 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w:t>
      </w:r>
      <w:r>
        <w:t xml:space="preserve"> </w:t>
      </w:r>
      <w:hyperlink r:id="rId70">
        <w:r>
          <w:rPr>
            <w:rStyle w:val="Hyperlink"/>
          </w:rPr>
          <w:t xml:space="preserve">Article Notebook</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 First, the following vowel exercises an appreciable amount of coarticulation on the preceding consonant. The vowel-induced coarticulation seem to be modulating how the emphatic vs plain distinction is implemented (or not): in the context of the vowels /A, O, U/, emphatic consonants are produced with a retracted body and root, indicating pharyngealisation. On the other hand, in the context of the front vowels /E, I/, there is visibly less distinction between emphatic and plain consonants, which is virtually absent in /E/. 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 First, there is a good deal of individual variation: some speakers show a clear differentiation of the tongue shape in emphatic and plain consonants, while in other speakers the difference is less obvious. FAK produced emphatic and plain consonants with virtually the same tongue shape. Just to pick another example, BAR uvularised/velarised rather than pharyngealised the emphatic consonants followed by /I/, while BAY pharyngealised them. 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3" w:name="sec-fpca"/>
    <w:p>
      <w:pPr>
        <w:pStyle w:val="Heading1"/>
      </w:pPr>
      <w:r>
        <w:t xml:space="preserve">Multivariate Functional Principal Component Analysis</w:t>
      </w:r>
    </w:p>
    <w:p>
      <w:pPr>
        <w:pStyle w:val="FirstParagraph"/>
      </w:pPr>
      <w:r>
        <w:t xml:space="preserve">Principal Component Analysis (PCA) is a dimensionality reduction technique. For an introduction to PCA we recommend</w:t>
      </w:r>
      <w:r>
        <w:t xml:space="preserve"> </w:t>
      </w:r>
      <w:r>
        <w:t xml:space="preserve">Kassambara (2017)</w:t>
      </w:r>
      <w:r>
        <w:t xml:space="preserve">. 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 The trajectory of the time-varying variable is encoded into a function with a set of coefficients and the values of those coefficients are submitted to PCA. When more than one time-varying variable is needed, this is where Multivariate FPCA (MFPCA) come in</w:t>
      </w:r>
      <w:r>
        <w:t xml:space="preserve"> </w:t>
      </w:r>
      <w:r>
        <w:t xml:space="preserve">(Gubian 2024)</w:t>
      </w:r>
      <w:r>
        <w:t xml:space="preserve">.</w:t>
      </w:r>
    </w:p>
    <w:p>
      <w:pPr>
        <w:pStyle w:val="BodyText"/>
      </w:pPr>
      <w:r>
        <w:t xml:space="preserve">MFPCA is an FPCA applied to two or more response variables. Note that the variable does not have to be</w:t>
      </w:r>
      <w:r>
        <w:t xml:space="preserve"> </w:t>
      </w:r>
      <w:r>
        <w:rPr>
          <w:i/>
          <w:iCs/>
        </w:rPr>
        <w:t xml:space="preserve">time</w:t>
      </w:r>
      <w:r>
        <w:t xml:space="preserve">-varying. The variation can be on any linear variable: in the case of DLC-tracked UTI data, the variation happens along the knot number. Look back at</w:t>
      </w:r>
      <w:r>
        <w:t xml:space="preserve"> </w:t>
      </w:r>
      <w:hyperlink w:anchor="fig-tongue-xy">
        <w:r>
          <w:rPr>
            <w:rStyle w:val="Hyperlink"/>
          </w:rPr>
          <w:t xml:space="preserve">Figure 5</w:t>
        </w:r>
      </w:hyperlink>
      <w:r>
        <w:t xml:space="preserve">: the two varying variables are the X and Y coordinates, which are varying along the DLC knots. As with MGAMs, it is these two varying trajectories that are submitted to MFPCA.</w:t>
      </w:r>
    </w:p>
    <w:bookmarkStart w:id="98" w:name="sec-fpca-vc"/>
    <w:p>
      <w:pPr>
        <w:pStyle w:val="Heading2"/>
      </w:pPr>
      <w:r>
        <w:t xml:space="preserve">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 The following code has been adapted from</w:t>
      </w:r>
      <w:r>
        <w:t xml:space="preserve"> </w:t>
      </w:r>
      <w:r>
        <w:t xml:space="preserve">Gubian (2024)</w:t>
      </w:r>
      <w:r>
        <w:t xml:space="preserve">. 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 We can easily pivot the data with</w:t>
      </w:r>
      <w:r>
        <w:t xml:space="preserve"> </w:t>
      </w:r>
      <w:r>
        <w:rPr>
          <w:rStyle w:val="VerbatimChar"/>
        </w:rPr>
        <w:t xml:space="preserve">pivot_longer()</w:t>
      </w:r>
      <w:r>
        <w:t xml:space="preserve">. 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 If you are not unsure about what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11</m:t>
        </m:r>
      </m:oMath>
      <w:r>
        <w:t xml:space="preserve">, where</w:t>
      </w:r>
      <w:r>
        <w:t xml:space="preserve"> </w:t>
      </w:r>
      <m:oMath>
        <m:r>
          <m:t>N</m:t>
        </m:r>
      </m:oMath>
      <w:r>
        <w:t xml:space="preserve"> </w:t>
      </w:r>
      <w:r>
        <w:t xml:space="preserve">is the number of tongue contours and</w:t>
      </w:r>
      <w:r>
        <w:t xml:space="preserve"> </w:t>
      </w:r>
      <m:oMath>
        <m:r>
          <m:t>11</m:t>
        </m:r>
      </m:oMath>
      <w:r>
        <w:t xml:space="preserve"> </w:t>
      </w:r>
      <w:r>
        <w:t xml:space="preserve">is for the 11 knots returned by DLC. 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 In this tutorial we will compute the first two PCs, but in a multivariate (bivariate) FPCA you can compute up to</w:t>
      </w:r>
      <w:r>
        <w:t xml:space="preserve"> </w:t>
      </w:r>
      <m:oMath>
        <m:r>
          <m:t>2</m:t>
        </m:r>
        <m:r>
          <m:rPr>
            <m:sty m:val="p"/>
          </m:rPr>
          <m:t>×</m:t>
        </m:r>
        <m:r>
          <m:t>K</m:t>
        </m:r>
      </m:oMath>
      <w:r>
        <w:t xml:space="preserve"> </w:t>
      </w:r>
      <w:r>
        <w:t xml:space="preserve">PCs where</w:t>
      </w:r>
      <w:r>
        <w:t xml:space="preserve"> </w:t>
      </w:r>
      <m:oMath>
        <m:r>
          <m:t>K</m:t>
        </m:r>
      </m:oMath>
      <w:r>
        <w:t xml:space="preserve"> </w:t>
      </w:r>
      <w:r>
        <w:t xml:space="preserve">is the number of DLC knots in the data.</w:t>
      </w:r>
    </w:p>
    <w:p>
      <w:pPr>
        <w:pStyle w:val="SourceCode"/>
      </w:pPr>
      <w:r>
        <w:rPr>
          <w:rStyle w:val="CommentTok"/>
        </w:rPr>
        <w:t xml:space="preserve"># Number of PC to compute</w:t>
      </w:r>
      <w:r>
        <w:br/>
      </w:r>
      <w:r>
        <w:rPr>
          <w:rStyle w:val="NormalTok"/>
        </w:rPr>
        <w:t xml:space="preserve">n_pc </w:t>
      </w:r>
      <w:r>
        <w:rPr>
          <w:rStyle w:val="OtherTok"/>
        </w:rPr>
        <w:t xml:space="preserve">&lt;-</w:t>
      </w:r>
      <w:r>
        <w:rPr>
          <w:rStyle w:val="NormalTok"/>
        </w:rPr>
        <w:t xml:space="preserve"> </w:t>
      </w:r>
      <w:r>
        <w:rPr>
          <w:rStyle w:val="DecValTok"/>
        </w:rPr>
        <w:t xml:space="preserve">2</w:t>
      </w:r>
      <w:r>
        <w:br/>
      </w:r>
      <w:r>
        <w:rPr>
          <w:rStyle w:val="CommentTok"/>
        </w:rPr>
        <w:t xml:space="preserve"># You can compute up to 11 PCs.</w:t>
      </w:r>
      <w:r>
        <w:br/>
      </w:r>
      <w:r>
        <w:rPr>
          <w:rStyle w:val="CommentTok"/>
        </w:rPr>
        <w:t xml:space="preserve"># n_pc &lt;- 11</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n_pc,</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each PC with the following code.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w:t>
      </w:r>
    </w:p>
    <w:p>
      <w:pPr>
        <w:pStyle w:val="SourceCode"/>
      </w:pPr>
      <w:r>
        <w:rPr>
          <w:rStyle w:val="VerbatimChar"/>
        </w:rPr>
        <w:t xml:space="preserve">[1] 0.7242321 0.2757679</w:t>
      </w:r>
    </w:p>
    <w:p>
      <w:pPr>
        <w:pStyle w:val="FirstParagraph"/>
      </w:pPr>
      <w:r>
        <w:t xml:space="preserve">The best way to assess the effect of the PC scores on the shape of the tongue contours is to plot the predicted tongue contours based on a set of representative PC scores. In order to be able to plot the predicted contours, we need to calculate them from the MFPCA object. It is suggested to plot predicted curves at score intervals based on fractions of the scores standard deviation. This is what the following code does.</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by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 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 Of course, what we are after is the X/Y plot of the tongue contours, rather than the knot/coordinate plot as needed to fit an MFPCA. 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 The plot is composed of four panels: the top two are the predicted curves along knot number for the Y coordinates (based on PC1 in the left panel and PC2 in the right panel). Interpreting the effect of the PCs on the X and Y coordinates separately allows one to observe vertical (Y coordinate) and horizontal (X coordinate) differences in tongue position independently. However, note that the vectors of muscle contractions in the tongue are not simply along a vertical/horizontal axis</w:t>
      </w:r>
      <w:r>
        <w:t xml:space="preserve"> </w:t>
      </w:r>
      <w:r>
        <w:t xml:space="preserve">(Honda 1996; Wrench 2024)</w:t>
      </w:r>
      <w:r>
        <w:t xml:space="preserve">. 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the PC scores (specifically, fractions of the standard deviation of the PC scores). 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in the left panel and the effect of PC2 in the right panel. A higher PC1 score (green lines in the left panel) suggest a lowering of the tongue body/dorsum and raising of the tongue tip. Since the data contains velar and coronal consonants, we take this to be capturing the velar/coronal place of articulation effect. A higher PC2 score (green lines in the right panel) corresponds to an overall higher tongue position. Considering that the back/central vowels /a, o, u/ are included in this data set, we take PC2 to be related with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 We can obtain the PC scores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 Both in Italian and Polish, we can observe a clear coarticulatory effect of /u/ on the production of coronal stops (and perhaps minor differences in /a/ vs /o/). On the other hand, the effect of vowel in velar stops seems to be minimal, again in both languages. 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w:t>
      </w:r>
    </w:p>
    <w:bookmarkEnd w:id="98"/>
    <w:bookmarkStart w:id="132" w:name="emphaticness"/>
    <w:p>
      <w:pPr>
        <w:pStyle w:val="Heading2"/>
      </w:pPr>
      <w:r>
        <w:t xml:space="preserve">Emphaticness</w:t>
      </w:r>
    </w:p>
    <w:p>
      <w:pPr>
        <w:pStyle w:val="FirstParagraph"/>
      </w:pPr>
      <w:r>
        <w:t xml:space="preserve">In this section we will run an MFPCA analysis on the Lebanese Arabic data. Since the procedure is the same as in the previous section, the code will not be shown here, but can be viewed in the</w:t>
      </w:r>
      <w:r>
        <w:t xml:space="preserve"> </w:t>
      </w:r>
      <w:hyperlink r:id="rId70">
        <w:r>
          <w:rPr>
            <w:rStyle w:val="Hyperlink"/>
          </w:rPr>
          <w:t xml:space="preserve">Article Notebook</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 PC1 captures the low-back/high-front diagonal movement. PC2, on the other hand, seems to be restricted to high/low movement at the back of the oral cavity. Emphatic consonants, if produced with a constricted pharynx (i.e. pharyngealised), should have a lower PC1. 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 Points are coloured based on emphaticness: emphatic in green and plain in orange. This figure illustrates well how the PC scores can capture individual variation: some speakers show clear separation of emphatic and plain tokens, while others do not. In most cases, PC1 is doing the heavy lifting of distinguishing emphatic and plain: recall that PC1 captures the front-high/back-low diagonal; a low PC1 indicates tongue dorsum and root backing, in other words pharyngealisation. Indeed, PC1 tends to be lower in emphatic tokens in several speakers, like Bar, Bay, Mro and Sak, especially with the vowels /A, O, U/. On the other hand, Bar’s emphatic and plain tokens for vowels /E, I/ do not show a PC1 difference, but rather a PC2 difference: PC2 captures tongue dorsum/body raising, hence indicating velarisation. It is possible that in Bar’s productions of emphatic consonants followed by /E, I/ the distinction with plain is produced by uvularisation/velarisation, compared to the pharyngealisation of emphatic consonants followed by /A, O, U/. Uvularisation/velarisation, rather than pharyngealisation, in the /E, I/ contexts makes sense given that the tongue root has to be front in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 We won’t include here a full description of the plots, since they should be self-explanatory, but we flag to the reader that these type of plots can be helpful in illustrating specific patterns in PC1 or PC2.</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PC2 scores of emphatic and plain consonants by speaker and vowel.</w:t>
            </w:r>
          </w:p>
          <w:bookmarkEnd w:id="117"/>
        </w:tc>
      </w:tr>
    </w:tbl>
    <w:bookmarkEnd w:id="118"/>
    <w:p>
      <w:pPr>
        <w:pStyle w:val="BodyText"/>
      </w:pPr>
      <w:r>
        <w:t xml:space="preserve">Finally, it will usually be helpful to reconstruct the predicted tongue contours of specific context. For example, we might be interested in showing the average tongue contours for emphatic and plain consonant followed by each of the five vowels in the data. This is shown in</w:t>
      </w:r>
      <w:r>
        <w:t xml:space="preserve"> </w:t>
      </w:r>
      <w:hyperlink w:anchor="fig-vow-emph">
        <w:r>
          <w:rPr>
            <w:rStyle w:val="Hyperlink"/>
          </w:rPr>
          <w:t xml:space="preserve">Figure 19</w:t>
        </w:r>
      </w:hyperlink>
      <w:r>
        <w:t xml:space="preserve">. In order to obtain the reconstructed contours, we first need to calculate mean PC scores for each vowel. This can be done through the following code. We recommend to inspect the</w:t>
      </w:r>
      <w:r>
        <w:t xml:space="preserve"> </w:t>
      </w:r>
      <w:r>
        <w:rPr>
          <w:rStyle w:val="VerbatimChar"/>
        </w:rPr>
        <w:t xml:space="preserve">pc_scores_mean</w:t>
      </w:r>
      <w:r>
        <w:t xml:space="preserve"> </w:t>
      </w:r>
      <w:r>
        <w:t xml:space="preserve">object.</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PC2 =</w:t>
      </w:r>
      <w:r>
        <w:rPr>
          <w:rStyle w:val="NormalTok"/>
        </w:rPr>
        <w:t xml:space="preserve"> </w:t>
      </w:r>
      <w:r>
        <w:rPr>
          <w:rStyle w:val="FunctionTok"/>
        </w:rPr>
        <w:t xml:space="preserve">mean</w:t>
      </w:r>
      <w:r>
        <w:rPr>
          <w:rStyle w:val="NormalTok"/>
        </w:rPr>
        <w:t xml:space="preserve">(PC2),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 One could also calculate the reconstructed contours at factions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PC1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PC2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 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w:t>
      </w:r>
      <w:r>
        <w:t xml:space="preserve"> </w:t>
      </w:r>
      <w:r>
        <w:t xml:space="preserve">with PC1 as the outcome, emphaticness (emphatic vs plain) and vowel (A, E, I, O, U) and their interaction as predictors. We also included by-participant varying intercepts and varying slopes for the emphaticness/vowel interaction. Both emphaticness and vowel were coded using sum contrasts. This is the R formula we used:</w:t>
      </w:r>
      <w:r>
        <w:t xml:space="preserve"> </w:t>
      </w:r>
      <w:r>
        <w:rPr>
          <w:rStyle w:val="VerbatimChar"/>
        </w:rPr>
        <w:t xml:space="preserve">PC1 ~ emph_fac * vowel_fac + (emph_fac * vowel_fac | participant)</w:t>
      </w:r>
      <w:r>
        <w:t xml:space="preserve">. We used the default priors as set by brms. Since a full introduction to regression modelling and Bayesian inference is beyond the scope of this paper, we refer the readers to the many resources now available. 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bookmarkStart w:id="130" w:name="cell-fig-emph-bm"/>
    <w:tbl>
      <w:tblPr>
        <w:tblStyle w:val="Table"/>
        <w:tblW w:type="pct" w:w="5000"/>
        <w:tblLayout w:type="fixed"/>
        <w:tblLook w:firstRow="0" w:lastRow="0" w:firstColumn="0" w:lastColumn="0" w:noHBand="0" w:noVBand="0" w:val="0000"/>
      </w:tblPr>
      <w:tblGrid>
        <w:gridCol w:w="7920"/>
      </w:tblGrid>
      <w:tr>
        <w:tc>
          <w:tcPr/>
          <w:bookmarkStart w:id="129" w:name="fig-emph-bm"/>
          <w:p>
            <w:pPr>
              <w:pStyle w:val="Compact"/>
              <w:jc w:val="center"/>
            </w:pPr>
            <w:bookmarkStart w:id="128" w:name="fig-emph-bm"/>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bookmarkEnd w:id="128"/>
          </w:p>
          <w:p>
            <w:pPr>
              <w:jc w:val="center"/>
            </w:pPr>
            <w:pPr>
              <w:jc w:val="start"/>
              <w:spacing w:before="200"/>
              <w:pStyle w:val="ImageCaption"/>
            </w:pPr>
            <w:r>
              <w:t xml:space="preserve">Figure 20</w:t>
            </w:r>
          </w:p>
          <w:bookmarkEnd w:id="129"/>
        </w:tc>
      </w:tr>
    </w:tbl>
    <w:bookmarkEnd w:id="130"/>
    <w:tbl>
      <w:tblPr>
        <w:tblStyle w:val="Table"/>
        <w:tblW w:type="pct" w:w="5000"/>
        <w:tblLayout w:type="fixed"/>
        <w:tblLook w:firstRow="0" w:lastRow="0" w:firstColumn="0" w:lastColumn="0" w:noHBand="0" w:noVBand="0" w:val="0000"/>
      </w:tblPr>
      <w:tblGrid>
        <w:gridCol w:w="7920"/>
      </w:tblGrid>
      <w:tr>
        <w:tc>
          <w:tcPr/>
          <w:bookmarkStart w:id="131" w:name="tbl-emph-bm"/>
          <w:p>
            <w:pPr>
              <w:jc w:val="center"/>
            </w:pPr>
            <w:pPr>
              <w:jc w:val="start"/>
              <w:spacing w:before="200"/>
              <w:pStyle w:val="ImageCaption"/>
            </w:pPr>
            <w:r>
              <w:t xml:space="preserve">Table 2</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2.5%</w:t>
                  </w:r>
                </w:p>
              </w:tc>
              <w:tc>
                <w:tcPr/>
                <w:p>
                  <w:pPr>
                    <w:pStyle w:val="Compact"/>
                    <w:jc w:val="right"/>
                    <w:jc w:val="center"/>
                  </w:pPr>
                  <w:r>
                    <w:t xml:space="preserve">97.5%</w:t>
                  </w:r>
                </w:p>
              </w:tc>
              <w:tc>
                <w:tcPr/>
                <w:p>
                  <w:pPr>
                    <w:pStyle w:val="Compact"/>
                    <w:jc w:val="right"/>
                    <w:jc w:val="center"/>
                  </w:pPr>
                  <w:r>
                    <w:t xml:space="preserve">10%</w:t>
                  </w:r>
                </w:p>
              </w:tc>
              <w:tc>
                <w:tcPr/>
                <w:p>
                  <w:pPr>
                    <w:pStyle w:val="Compact"/>
                    <w:jc w:val="right"/>
                    <w:jc w:val="center"/>
                  </w:pPr>
                  <w:r>
                    <w:t xml:space="preserve">90%</w:t>
                  </w:r>
                </w:p>
              </w:tc>
              <w:tc>
                <w:tcPr/>
                <w:p>
                  <w:pPr>
                    <w:pStyle w:val="Compact"/>
                    <w:jc w:val="right"/>
                    <w:jc w:val="center"/>
                  </w:pPr>
                  <w:r>
                    <w:t xml:space="preserve">15%</w:t>
                  </w:r>
                </w:p>
              </w:tc>
              <w:tc>
                <w:tcPr/>
                <w:p>
                  <w:pPr>
                    <w:pStyle w:val="Compact"/>
                    <w:jc w:val="right"/>
                    <w:jc w:val="center"/>
                  </w:pPr>
                  <w:r>
                    <w:t xml:space="preserve">85%</w:t>
                  </w:r>
                </w:p>
              </w:tc>
            </w:tr>
            <w:tr>
              <w:tc>
                <w:tcPr/>
                <w:p>
                  <w:pPr>
                    <w:pStyle w:val="Compact"/>
                    <w:jc w:val="left"/>
                    <w:jc w:val="center"/>
                  </w:pPr>
                  <w:r>
                    <w:t xml:space="preserve">A_diff</w:t>
                  </w:r>
                </w:p>
              </w:tc>
              <w:tc>
                <w:tcPr/>
                <w:p>
                  <w:pPr>
                    <w:pStyle w:val="Compact"/>
                    <w:jc w:val="right"/>
                    <w:jc w:val="center"/>
                  </w:pPr>
                  <w:r>
                    <w:t xml:space="preserve">-0.58</w:t>
                  </w:r>
                </w:p>
              </w:tc>
              <w:tc>
                <w:tcPr/>
                <w:p>
                  <w:pPr>
                    <w:pStyle w:val="Compact"/>
                    <w:jc w:val="right"/>
                    <w:jc w:val="center"/>
                  </w:pPr>
                  <w:r>
                    <w:t xml:space="preserve">0.25</w:t>
                  </w:r>
                </w:p>
              </w:tc>
              <w:tc>
                <w:tcPr/>
                <w:p>
                  <w:pPr>
                    <w:pStyle w:val="Compact"/>
                    <w:jc w:val="right"/>
                    <w:jc w:val="center"/>
                  </w:pPr>
                  <w:r>
                    <w:t xml:space="preserve">-1.03</w:t>
                  </w:r>
                </w:p>
              </w:tc>
              <w:tc>
                <w:tcPr/>
                <w:p>
                  <w:pPr>
                    <w:pStyle w:val="Compact"/>
                    <w:jc w:val="right"/>
                    <w:jc w:val="center"/>
                  </w:pPr>
                  <w:r>
                    <w:t xml:space="preserve">-0.08</w:t>
                  </w:r>
                </w:p>
              </w:tc>
              <w:tc>
                <w:tcPr/>
                <w:p>
                  <w:pPr>
                    <w:pStyle w:val="Compact"/>
                    <w:jc w:val="right"/>
                    <w:jc w:val="center"/>
                  </w:pPr>
                  <w:r>
                    <w:t xml:space="preserve">-0.83</w:t>
                  </w:r>
                </w:p>
              </w:tc>
              <w:tc>
                <w:tcPr/>
                <w:p>
                  <w:pPr>
                    <w:pStyle w:val="Compact"/>
                    <w:jc w:val="right"/>
                    <w:jc w:val="center"/>
                  </w:pPr>
                  <w:r>
                    <w:t xml:space="preserve">-0.33</w:t>
                  </w:r>
                </w:p>
              </w:tc>
              <w:tc>
                <w:tcPr/>
                <w:p>
                  <w:pPr>
                    <w:pStyle w:val="Compact"/>
                    <w:jc w:val="right"/>
                    <w:jc w:val="center"/>
                  </w:pPr>
                  <w:r>
                    <w:t xml:space="preserve">-0.77</w:t>
                  </w:r>
                </w:p>
              </w:tc>
              <w:tc>
                <w:tcPr/>
                <w:p>
                  <w:pPr>
                    <w:pStyle w:val="Compact"/>
                    <w:jc w:val="right"/>
                    <w:jc w:val="center"/>
                  </w:pPr>
                  <w:r>
                    <w:t xml:space="preserve">-0.39</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0.25</w:t>
                  </w:r>
                </w:p>
              </w:tc>
              <w:tc>
                <w:tcPr/>
                <w:p>
                  <w:pPr>
                    <w:pStyle w:val="Compact"/>
                    <w:jc w:val="right"/>
                    <w:jc w:val="center"/>
                  </w:pPr>
                  <w:r>
                    <w:t xml:space="preserve">-0.68</w:t>
                  </w:r>
                </w:p>
              </w:tc>
              <w:tc>
                <w:tcPr/>
                <w:p>
                  <w:pPr>
                    <w:pStyle w:val="Compact"/>
                    <w:jc w:val="right"/>
                    <w:jc w:val="center"/>
                  </w:pPr>
                  <w:r>
                    <w:t xml:space="preserve">0.34</w:t>
                  </w:r>
                </w:p>
              </w:tc>
              <w:tc>
                <w:tcPr/>
                <w:p>
                  <w:pPr>
                    <w:pStyle w:val="Compact"/>
                    <w:jc w:val="right"/>
                    <w:jc w:val="center"/>
                  </w:pPr>
                  <w:r>
                    <w:t xml:space="preserve">-0.44</w:t>
                  </w:r>
                </w:p>
              </w:tc>
              <w:tc>
                <w:tcPr/>
                <w:p>
                  <w:pPr>
                    <w:pStyle w:val="Compact"/>
                    <w:jc w:val="right"/>
                    <w:jc w:val="center"/>
                  </w:pPr>
                  <w:r>
                    <w:t xml:space="preserve">0.09</w:t>
                  </w:r>
                </w:p>
              </w:tc>
              <w:tc>
                <w:tcPr/>
                <w:p>
                  <w:pPr>
                    <w:pStyle w:val="Compact"/>
                    <w:jc w:val="right"/>
                    <w:jc w:val="center"/>
                  </w:pPr>
                  <w:r>
                    <w:t xml:space="preserve">-0.38</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-0.22</w:t>
                  </w:r>
                </w:p>
              </w:tc>
              <w:tc>
                <w:tcPr/>
                <w:p>
                  <w:pPr>
                    <w:pStyle w:val="Compact"/>
                    <w:jc w:val="right"/>
                    <w:jc w:val="center"/>
                  </w:pPr>
                  <w:r>
                    <w:t xml:space="preserve">0.42</w:t>
                  </w:r>
                </w:p>
              </w:tc>
              <w:tc>
                <w:tcPr/>
                <w:p>
                  <w:pPr>
                    <w:pStyle w:val="Compact"/>
                    <w:jc w:val="right"/>
                    <w:jc w:val="center"/>
                  </w:pPr>
                  <w:r>
                    <w:t xml:space="preserve">-1.06</w:t>
                  </w:r>
                </w:p>
              </w:tc>
              <w:tc>
                <w:tcPr/>
                <w:p>
                  <w:pPr>
                    <w:pStyle w:val="Compact"/>
                    <w:jc w:val="right"/>
                    <w:jc w:val="center"/>
                  </w:pPr>
                  <w:r>
                    <w:t xml:space="preserve">0.59</w:t>
                  </w:r>
                </w:p>
              </w:tc>
              <w:tc>
                <w:tcPr/>
                <w:p>
                  <w:pPr>
                    <w:pStyle w:val="Compact"/>
                    <w:jc w:val="right"/>
                    <w:jc w:val="center"/>
                  </w:pPr>
                  <w:r>
                    <w:t xml:space="preserve">-0.65</w:t>
                  </w:r>
                </w:p>
              </w:tc>
              <w:tc>
                <w:tcPr/>
                <w:p>
                  <w:pPr>
                    <w:pStyle w:val="Compact"/>
                    <w:jc w:val="right"/>
                    <w:jc w:val="center"/>
                  </w:pPr>
                  <w:r>
                    <w:t xml:space="preserve">0.24</w:t>
                  </w:r>
                </w:p>
              </w:tc>
              <w:tc>
                <w:tcPr/>
                <w:p>
                  <w:pPr>
                    <w:pStyle w:val="Compact"/>
                    <w:jc w:val="right"/>
                    <w:jc w:val="center"/>
                  </w:pPr>
                  <w:r>
                    <w:t xml:space="preserve">-0.55</w:t>
                  </w:r>
                </w:p>
              </w:tc>
              <w:tc>
                <w:tcPr/>
                <w:p>
                  <w:pPr>
                    <w:pStyle w:val="Compact"/>
                    <w:jc w:val="right"/>
                    <w:jc w:val="center"/>
                  </w:pPr>
                  <w:r>
                    <w:t xml:space="preserve">0.14</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0.23</w:t>
                  </w:r>
                </w:p>
              </w:tc>
              <w:tc>
                <w:tcPr/>
                <w:p>
                  <w:pPr>
                    <w:pStyle w:val="Compact"/>
                    <w:jc w:val="right"/>
                    <w:jc w:val="center"/>
                  </w:pPr>
                  <w:r>
                    <w:t xml:space="preserve">-0.81</w:t>
                  </w:r>
                </w:p>
              </w:tc>
              <w:tc>
                <w:tcPr/>
                <w:p>
                  <w:pPr>
                    <w:pStyle w:val="Compact"/>
                    <w:jc w:val="right"/>
                    <w:jc w:val="center"/>
                  </w:pPr>
                  <w:r>
                    <w:t xml:space="preserve">0.09</w:t>
                  </w:r>
                </w:p>
              </w:tc>
              <w:tc>
                <w:tcPr/>
                <w:p>
                  <w:pPr>
                    <w:pStyle w:val="Compact"/>
                    <w:jc w:val="right"/>
                    <w:jc w:val="center"/>
                  </w:pPr>
                  <w:r>
                    <w:t xml:space="preserve">-0.62</w:t>
                  </w:r>
                </w:p>
              </w:tc>
              <w:tc>
                <w:tcPr/>
                <w:p>
                  <w:pPr>
                    <w:pStyle w:val="Compact"/>
                    <w:jc w:val="right"/>
                    <w:jc w:val="center"/>
                  </w:pPr>
                  <w:r>
                    <w:t xml:space="preserve">-0.14</w:t>
                  </w:r>
                </w:p>
              </w:tc>
              <w:tc>
                <w:tcPr/>
                <w:p>
                  <w:pPr>
                    <w:pStyle w:val="Compact"/>
                    <w:jc w:val="right"/>
                    <w:jc w:val="center"/>
                  </w:pPr>
                  <w:r>
                    <w:t xml:space="preserve">-0.57</w:t>
                  </w:r>
                </w:p>
              </w:tc>
              <w:tc>
                <w:tcPr/>
                <w:p>
                  <w:pPr>
                    <w:pStyle w:val="Compact"/>
                    <w:jc w:val="right"/>
                    <w:jc w:val="center"/>
                  </w:pPr>
                  <w:r>
                    <w:t xml:space="preserve">-0.20</w:t>
                  </w:r>
                </w:p>
              </w:tc>
            </w:tr>
            <w:tr>
              <w:tc>
                <w:tcPr/>
                <w:p>
                  <w:pPr>
                    <w:pStyle w:val="Compact"/>
                    <w:jc w:val="left"/>
                    <w:jc w:val="center"/>
                  </w:pPr>
                  <w:r>
                    <w:t xml:space="preserve">U_diff</w:t>
                  </w:r>
                </w:p>
              </w:tc>
              <w:tc>
                <w:tcPr/>
                <w:p>
                  <w:pPr>
                    <w:pStyle w:val="Compact"/>
                    <w:jc w:val="right"/>
                    <w:jc w:val="center"/>
                  </w:pPr>
                  <w:r>
                    <w:t xml:space="preserve">-1.08</w:t>
                  </w:r>
                </w:p>
              </w:tc>
              <w:tc>
                <w:tcPr/>
                <w:p>
                  <w:pPr>
                    <w:pStyle w:val="Compact"/>
                    <w:jc w:val="right"/>
                    <w:jc w:val="center"/>
                  </w:pPr>
                  <w:r>
                    <w:t xml:space="preserve">0.49</w:t>
                  </w:r>
                </w:p>
              </w:tc>
              <w:tc>
                <w:tcPr/>
                <w:p>
                  <w:pPr>
                    <w:pStyle w:val="Compact"/>
                    <w:jc w:val="right"/>
                    <w:jc w:val="center"/>
                  </w:pPr>
                  <w:r>
                    <w:t xml:space="preserve">-2.06</w:t>
                  </w:r>
                </w:p>
              </w:tc>
              <w:tc>
                <w:tcPr/>
                <w:p>
                  <w:pPr>
                    <w:pStyle w:val="Compact"/>
                    <w:jc w:val="right"/>
                    <w:jc w:val="center"/>
                  </w:pPr>
                  <w:r>
                    <w:t xml:space="preserve">-0.07</w:t>
                  </w:r>
                </w:p>
              </w:tc>
              <w:tc>
                <w:tcPr/>
                <w:p>
                  <w:pPr>
                    <w:pStyle w:val="Compact"/>
                    <w:jc w:val="right"/>
                    <w:jc w:val="center"/>
                  </w:pPr>
                  <w:r>
                    <w:t xml:space="preserve">-1.60</w:t>
                  </w:r>
                </w:p>
              </w:tc>
              <w:tc>
                <w:tcPr/>
                <w:p>
                  <w:pPr>
                    <w:pStyle w:val="Compact"/>
                    <w:jc w:val="right"/>
                    <w:jc w:val="center"/>
                  </w:pPr>
                  <w:r>
                    <w:t xml:space="preserve">-0.52</w:t>
                  </w:r>
                </w:p>
              </w:tc>
              <w:tc>
                <w:tcPr/>
                <w:p>
                  <w:pPr>
                    <w:pStyle w:val="Compact"/>
                    <w:jc w:val="right"/>
                    <w:jc w:val="center"/>
                  </w:pPr>
                  <w:r>
                    <w:t xml:space="preserve">-1.49</w:t>
                  </w:r>
                </w:p>
              </w:tc>
              <w:tc>
                <w:tcPr/>
                <w:p>
                  <w:pPr>
                    <w:pStyle w:val="Compact"/>
                    <w:jc w:val="right"/>
                    <w:jc w:val="center"/>
                  </w:pPr>
                  <w:r>
                    <w:t xml:space="preserve">-0.64</w:t>
                  </w:r>
                </w:p>
              </w:tc>
            </w:tr>
          </w:tbl>
          <w:bookmarkEnd w:id="131"/>
          <w:p/>
        </w:tc>
      </w:tr>
    </w:tbl>
    <w:bookmarkEnd w:id="132"/>
    <w:bookmarkEnd w:id="133"/>
    <w:bookmarkStart w:id="134" w:name="sec-procons"/>
    <w:p>
      <w:pPr>
        <w:pStyle w:val="Heading1"/>
      </w:pPr>
      <w:r>
        <w:t xml:space="preserve">Advantages and disadvantages</w:t>
      </w:r>
    </w:p>
    <w:p>
      <w:pPr>
        <w:pStyle w:val="FirstParagraph"/>
      </w:pPr>
      <w:r>
        <w:t xml:space="preserve">Both Multivariate GAMs and FPCA are a useful way to model DLC-tracked ultrasound tongue imaging data. However, each possesses advantages and disadvantages.</w:t>
      </w:r>
    </w:p>
    <w:p>
      <w:pPr>
        <w:pStyle w:val="BodyText"/>
      </w:pPr>
      <w:r>
        <w:t xml:space="preserve">Multivariate GAMs can model tongue contours in specific contexts and combinations thereof, like different vowels, consonant, prosodic contexts and so on. The rather complex model structure required to fit multivariate GAMs to tongue data comes at a computational cost and an interpretative cost. Computationally, multivariate GAMs can take hours to estimate even the most simple models. 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 Moreover, there is no straightforward way to use traditional methods to assess (frequentist) statistical significance. From a practical point of view, a multivariate GAM ends up being a mathematically complex way of obtaining a sort of average tongue contour. A further constraint is that mgcv offers only a multivariate Gaussian distribution, which might not always be an appropriate distribution (despite being a safe neutral assumption).</w:t>
      </w:r>
    </w:p>
    <w:p>
      <w:pPr>
        <w:pStyle w:val="BodyText"/>
      </w:pPr>
      <w:r>
        <w:t xml:space="preserve">Multivariate FPCA, on the other hand, are computationally efficient. Even with very large data sets, the computation of Principal Components is relatively quick. 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 One possible disadvantage of multivariate FPCA is that it is usually not known what type of variation each obtained PC captures. This is illustrated in the two case studies in</w:t>
      </w:r>
      <w:r>
        <w:t xml:space="preserve"> </w:t>
      </w:r>
      <w:hyperlink w:anchor="sec-fpca">
        <w:r>
          <w:rPr>
            <w:rStyle w:val="Hyperlink"/>
          </w:rPr>
          <w:t xml:space="preserve">Section 3</w:t>
        </w:r>
      </w:hyperlink>
      <w:r>
        <w:t xml:space="preserve">. In the VC coarticulation data, PC1 corresponded to the coronal/velar difference in consonants, while PC2 to the difference in vowel. In the emphaticness data, PC1 captured the low-back/high-front diagonal movement, while PC2 to the high/low movement at the back of the oral cavity. In other words: until one has run the MFPCA, one cannot know which PC will correspond to which axis of differences, and whether the PCs will capture relevant differences at all. It can happen that the variation one is after is so minimal relative to other, more substantial cases of variation, that it will not be captured by the MFPCA at all. It is possible that qualitatively homogeneous data sets might return PCs that have the same or very similar interpretations, but 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w:t>
      </w:r>
    </w:p>
    <w:p>
      <w:pPr>
        <w:pStyle w:val="BodyText"/>
      </w:pPr>
      <w:r>
        <w:t xml:space="preserve">Another advantage of MFPCA is that, provided that the PCs have captured relevant characteristics, the PCs can be submitted to further modelling using regression with the inclusion of relevant predictors (like different categorical variables of interest). We have not done so in this tutorial to keep the scope and length of the tutorial manageable, but both case studies presented in</w:t>
      </w:r>
      <w:r>
        <w:t xml:space="preserve"> </w:t>
      </w:r>
      <w:hyperlink w:anchor="sec-fpca">
        <w:r>
          <w:rPr>
            <w:rStyle w:val="Hyperlink"/>
          </w:rPr>
          <w:t xml:space="preserve">Section 3</w:t>
        </w:r>
      </w:hyperlink>
      <w:r>
        <w:t xml:space="preserve"> </w:t>
      </w:r>
      <w:r>
        <w:t xml:space="preserve">are amenable to such follow-up analysis.</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4"/>
    <w:bookmarkStart w:id="135" w:name="conclusions"/>
    <w:p>
      <w:pPr>
        <w:pStyle w:val="Heading1"/>
      </w:pPr>
      <w:r>
        <w:t xml:space="preserve">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 We offer detailed, annotated analyses of two example datasets, focusing on vowel-to-consonant coarticulation in Italian and Polish, and emphatic consonants in Lebanese Arabic. All associated materials, including datasets and code, are accessible through the tutorial’s research compendium at </w:t>
      </w:r>
      <w:hyperlink r:id="rId20">
        <w:r>
          <w:rPr>
            <w:rStyle w:val="Hyperlink"/>
          </w:rPr>
          <w:t xml:space="preserve">https://github.com/stefanocoretta/mv_uti</w:t>
        </w:r>
      </w:hyperlink>
      <w:r>
        <w:t xml:space="preserve">. In closing, we evaluate the strengths and limitations of each method and advise adopting MFPCA as the preferred initial modelling strategy for tongue contour data.</w:t>
      </w:r>
    </w:p>
    <w:bookmarkEnd w:id="135"/>
    <w:bookmarkStart w:id="136" w:name="disclosure-statement"/>
    <w:p>
      <w:pPr>
        <w:pStyle w:val="Heading1"/>
      </w:pPr>
      <w:r>
        <w:t xml:space="preserve">Disclosure statement</w:t>
      </w:r>
    </w:p>
    <w:p>
      <w:pPr>
        <w:pStyle w:val="FirstParagraph"/>
      </w:pPr>
      <w:r>
        <w:t xml:space="preserve">The authors report there are no competing interests to declare.</w:t>
      </w:r>
    </w:p>
    <w:bookmarkEnd w:id="136"/>
    <w:bookmarkStart w:id="137"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 An online version of the manuscript is available at</w:t>
      </w:r>
      <w:r>
        <w:t xml:space="preserve"> </w:t>
      </w:r>
      <w:hyperlink r:id="rId124">
        <w:r>
          <w:rPr>
            <w:rStyle w:val="Hyperlink"/>
          </w:rPr>
          <w:t xml:space="preserve">https://stefanocoretta.github.io/mv_uti/</w:t>
        </w:r>
      </w:hyperlink>
      <w:r>
        <w:t xml:space="preserve">.</w:t>
      </w:r>
    </w:p>
    <w:bookmarkEnd w:id="137"/>
    <w:bookmarkStart w:id="227" w:name="references"/>
    <w:p>
      <w:pPr>
        <w:pStyle w:val="Heading1"/>
      </w:pPr>
      <w:r>
        <w:t xml:space="preserve">References</w:t>
      </w:r>
    </w:p>
    <w:bookmarkStart w:id="226" w:name="refs"/>
    <w:bookmarkStart w:id="138"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8"/>
    <w:bookmarkStart w:id="139"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9"/>
    <w:bookmarkStart w:id="141"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40">
        <w:r>
          <w:rPr>
            <w:rStyle w:val="Hyperlink"/>
          </w:rPr>
          <w:t xml:space="preserve">https://doi.org/10.5334/labphon.19</w:t>
        </w:r>
      </w:hyperlink>
      <w:r>
        <w:t xml:space="preserve">.</w:t>
      </w:r>
    </w:p>
    <w:bookmarkEnd w:id="141"/>
    <w:bookmarkStart w:id="142"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2"/>
    <w:bookmarkStart w:id="143"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3"/>
    <w:bookmarkStart w:id="145"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4">
        <w:r>
          <w:rPr>
            <w:rStyle w:val="Hyperlink"/>
          </w:rPr>
          <w:t xml:space="preserve">https://doi.org/10.18637/jss.v080.i01</w:t>
        </w:r>
      </w:hyperlink>
      <w:r>
        <w:t xml:space="preserve">.</w:t>
      </w:r>
    </w:p>
    <w:bookmarkEnd w:id="145"/>
    <w:bookmarkStart w:id="146"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6"/>
    <w:bookmarkStart w:id="148"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7">
        <w:r>
          <w:rPr>
            <w:rStyle w:val="Hyperlink"/>
          </w:rPr>
          <w:t xml:space="preserve">https://doi.org/10.17605/OSF.IO/8ZHKU</w:t>
        </w:r>
      </w:hyperlink>
      <w:r>
        <w:t xml:space="preserve">.</w:t>
      </w:r>
    </w:p>
    <w:bookmarkEnd w:id="148"/>
    <w:bookmarkStart w:id="150"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9">
        <w:r>
          <w:rPr>
            <w:rStyle w:val="Hyperlink"/>
          </w:rPr>
          <w:t xml:space="preserve">https://stefanocoretta.github.io/rticulate/articles/polar-gams.html</w:t>
        </w:r>
      </w:hyperlink>
      <w:r>
        <w:t xml:space="preserve">.</w:t>
      </w:r>
    </w:p>
    <w:bookmarkEnd w:id="150"/>
    <w:bookmarkStart w:id="152"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1">
        <w:r>
          <w:rPr>
            <w:rStyle w:val="Hyperlink"/>
          </w:rPr>
          <w:t xml:space="preserve">https://doi.org/10.1121/10.0000556</w:t>
        </w:r>
      </w:hyperlink>
      <w:r>
        <w:t xml:space="preserve">.</w:t>
      </w:r>
    </w:p>
    <w:bookmarkEnd w:id="152"/>
    <w:bookmarkStart w:id="153"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3"/>
    <w:bookmarkStart w:id="155" w:name="ref-coretta2019g"/>
    <w:p>
      <w:pPr>
        <w:pStyle w:val="Bibliography"/>
      </w:pPr>
      <w:r>
        <w:t xml:space="preserve">———. n.d.</w:t>
      </w:r>
      <w:r>
        <w:t xml:space="preserve"> </w:t>
      </w:r>
      <w:r>
        <w:t xml:space="preserve">“Assessing Mid-Saggital Tongue Contours in Polar Coordinates Using Generalised Additive (Mixed) Models.”</w:t>
      </w:r>
      <w:r>
        <w:t xml:space="preserve"> </w:t>
      </w:r>
      <w:hyperlink r:id="rId154">
        <w:r>
          <w:rPr>
            <w:rStyle w:val="Hyperlink"/>
          </w:rPr>
          <w:t xml:space="preserve">https://doi.org/10.31219/osf.io/q6vzb</w:t>
        </w:r>
      </w:hyperlink>
      <w:r>
        <w:t xml:space="preserve">.</w:t>
      </w:r>
    </w:p>
    <w:bookmarkEnd w:id="155"/>
    <w:bookmarkStart w:id="157"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6">
        <w:r>
          <w:rPr>
            <w:rStyle w:val="Hyperlink"/>
          </w:rPr>
          <w:t xml:space="preserve">https://doi.org/10.1121/1.2205133</w:t>
        </w:r>
      </w:hyperlink>
      <w:r>
        <w:t xml:space="preserve">.</w:t>
      </w:r>
    </w:p>
    <w:bookmarkEnd w:id="157"/>
    <w:bookmarkStart w:id="159"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8">
        <w:r>
          <w:rPr>
            <w:rStyle w:val="Hyperlink"/>
          </w:rPr>
          <w:t xml:space="preserve">https://doaj.org/article/6698290a36c244f783a59ba49617e821</w:t>
        </w:r>
      </w:hyperlink>
      <w:r>
        <w:t xml:space="preserve">.</w:t>
      </w:r>
    </w:p>
    <w:bookmarkEnd w:id="159"/>
    <w:bookmarkStart w:id="160"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60"/>
    <w:bookmarkStart w:id="162"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1">
        <w:r>
          <w:rPr>
            <w:rStyle w:val="Hyperlink"/>
          </w:rPr>
          <w:t xml:space="preserve">https://doi.org/10.1121/1.2031977</w:t>
        </w:r>
      </w:hyperlink>
      <w:r>
        <w:t xml:space="preserve">.</w:t>
      </w:r>
    </w:p>
    <w:bookmarkEnd w:id="162"/>
    <w:bookmarkStart w:id="164"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3">
        <w:r>
          <w:rPr>
            <w:rStyle w:val="Hyperlink"/>
          </w:rPr>
          <w:t xml:space="preserve">https://doi.org/10.1017/S0954394500000892</w:t>
        </w:r>
      </w:hyperlink>
      <w:r>
        <w:t xml:space="preserve">.</w:t>
      </w:r>
    </w:p>
    <w:bookmarkEnd w:id="164"/>
    <w:bookmarkStart w:id="165"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5"/>
    <w:bookmarkStart w:id="167"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6">
        <w:r>
          <w:rPr>
            <w:rStyle w:val="Hyperlink"/>
          </w:rPr>
          <w:t xml:space="preserve">https://github.com/uasolo/FPCA-phonetics-workshop</w:t>
        </w:r>
      </w:hyperlink>
      <w:r>
        <w:t xml:space="preserve">.</w:t>
      </w:r>
    </w:p>
    <w:bookmarkEnd w:id="167"/>
    <w:bookmarkStart w:id="169"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8">
        <w:r>
          <w:rPr>
            <w:rStyle w:val="Hyperlink"/>
          </w:rPr>
          <w:t xml:space="preserve">https://github.com/uasolo/FPCA-phonetics-workshop/tree/master/presentations/UTI</w:t>
        </w:r>
      </w:hyperlink>
      <w:r>
        <w:t xml:space="preserve">.</w:t>
      </w:r>
    </w:p>
    <w:bookmarkEnd w:id="169"/>
    <w:bookmarkStart w:id="171"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70">
        <w:r>
          <w:rPr>
            <w:rStyle w:val="Hyperlink"/>
          </w:rPr>
          <w:t xml:space="preserve">https://doi.org/10.21437/Interspeech.2019-2143</w:t>
        </w:r>
      </w:hyperlink>
      <w:r>
        <w:t xml:space="preserve">.</w:t>
      </w:r>
    </w:p>
    <w:bookmarkEnd w:id="171"/>
    <w:bookmarkStart w:id="173"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2">
        <w:r>
          <w:rPr>
            <w:rStyle w:val="Hyperlink"/>
          </w:rPr>
          <w:t xml:space="preserve">https://doi.org/10.1016/j.wocn.2014.10.001</w:t>
        </w:r>
      </w:hyperlink>
      <w:r>
        <w:t xml:space="preserve">.</w:t>
      </w:r>
    </w:p>
    <w:bookmarkEnd w:id="173"/>
    <w:bookmarkStart w:id="175"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4">
        <w:r>
          <w:rPr>
            <w:rStyle w:val="Hyperlink"/>
          </w:rPr>
          <w:t xml:space="preserve">https://doi.org/10.1201/9780203753781-6</w:t>
        </w:r>
      </w:hyperlink>
      <w:r>
        <w:t xml:space="preserve">.</w:t>
      </w:r>
    </w:p>
    <w:bookmarkEnd w:id="175"/>
    <w:bookmarkStart w:id="177"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6">
        <w:r>
          <w:rPr>
            <w:rStyle w:val="Hyperlink"/>
          </w:rPr>
          <w:t xml:space="preserve">https://doi.org/10.1006/jpho.1996.0004</w:t>
        </w:r>
      </w:hyperlink>
      <w:r>
        <w:t xml:space="preserve">.</w:t>
      </w:r>
    </w:p>
    <w:bookmarkEnd w:id="177"/>
    <w:bookmarkStart w:id="179"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78">
        <w:r>
          <w:rPr>
            <w:rStyle w:val="Hyperlink"/>
          </w:rPr>
          <w:t xml:space="preserve">https://doi.org/10.1121/1.428053</w:t>
        </w:r>
      </w:hyperlink>
      <w:r>
        <w:t xml:space="preserve">.</w:t>
      </w:r>
    </w:p>
    <w:bookmarkEnd w:id="179"/>
    <w:bookmarkStart w:id="180"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80"/>
    <w:bookmarkStart w:id="181"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1"/>
    <w:bookmarkStart w:id="183"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2">
        <w:r>
          <w:rPr>
            <w:rStyle w:val="Hyperlink"/>
          </w:rPr>
          <w:t xml:space="preserve">https://doi.org/10.1515/9781474449960</w:t>
        </w:r>
      </w:hyperlink>
      <w:r>
        <w:t xml:space="preserve">.</w:t>
      </w:r>
    </w:p>
    <w:bookmarkEnd w:id="183"/>
    <w:bookmarkStart w:id="185"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4">
        <w:r>
          <w:rPr>
            <w:rStyle w:val="Hyperlink"/>
          </w:rPr>
          <w:t xml:space="preserve">https://doi.org/10.1016/j.wocn.2018.10.001</w:t>
        </w:r>
      </w:hyperlink>
      <w:r>
        <w:t xml:space="preserve">.</w:t>
      </w:r>
    </w:p>
    <w:bookmarkEnd w:id="185"/>
    <w:bookmarkStart w:id="187"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6">
        <w:r>
          <w:rPr>
            <w:rStyle w:val="Hyperlink"/>
          </w:rPr>
          <w:t xml:space="preserve">https://doi.org/10.1038/s41593-018-0209-y</w:t>
        </w:r>
      </w:hyperlink>
      <w:r>
        <w:t xml:space="preserve">.</w:t>
      </w:r>
    </w:p>
    <w:bookmarkEnd w:id="187"/>
    <w:bookmarkStart w:id="189"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88">
        <w:r>
          <w:rPr>
            <w:rStyle w:val="Hyperlink"/>
          </w:rPr>
          <w:t xml:space="preserve">https://doi.org/10.1159/000257920</w:t>
        </w:r>
      </w:hyperlink>
      <w:r>
        <w:t xml:space="preserve">.</w:t>
      </w:r>
    </w:p>
    <w:bookmarkEnd w:id="189"/>
    <w:bookmarkStart w:id="190"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90"/>
    <w:bookmarkStart w:id="192"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1">
        <w:r>
          <w:rPr>
            <w:rStyle w:val="Hyperlink"/>
          </w:rPr>
          <w:t xml:space="preserve">https://doi.org/10.7717/peerj.6876</w:t>
        </w:r>
      </w:hyperlink>
      <w:r>
        <w:t xml:space="preserve">.</w:t>
      </w:r>
    </w:p>
    <w:bookmarkEnd w:id="192"/>
    <w:bookmarkStart w:id="194"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3">
        <w:r>
          <w:rPr>
            <w:rStyle w:val="Hyperlink"/>
          </w:rPr>
          <w:t xml:space="preserve">https://doi.org/10.1515/flin.1987.21.2-4.261</w:t>
        </w:r>
      </w:hyperlink>
      <w:r>
        <w:t xml:space="preserve">.</w:t>
      </w:r>
    </w:p>
    <w:bookmarkEnd w:id="194"/>
    <w:bookmarkStart w:id="196"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5">
        <w:r>
          <w:rPr>
            <w:rStyle w:val="Hyperlink"/>
          </w:rPr>
          <w:t xml:space="preserve">https://doi.org/10.1007/b98888</w:t>
        </w:r>
      </w:hyperlink>
      <w:r>
        <w:t xml:space="preserve">.</w:t>
      </w:r>
    </w:p>
    <w:bookmarkEnd w:id="196"/>
    <w:bookmarkStart w:id="197"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197"/>
    <w:bookmarkStart w:id="199"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198">
        <w:r>
          <w:rPr>
            <w:rStyle w:val="Hyperlink"/>
          </w:rPr>
          <w:t xml:space="preserve">https://doi.org/10.1093/jss/fgad024</w:t>
        </w:r>
      </w:hyperlink>
      <w:r>
        <w:t xml:space="preserve">.</w:t>
      </w:r>
    </w:p>
    <w:bookmarkEnd w:id="199"/>
    <w:bookmarkStart w:id="200"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200"/>
    <w:bookmarkStart w:id="201"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1"/>
    <w:bookmarkStart w:id="202"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2"/>
    <w:bookmarkStart w:id="204"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3">
        <w:r>
          <w:rPr>
            <w:rStyle w:val="Hyperlink"/>
          </w:rPr>
          <w:t xml:space="preserve">https://doi.org/10.1016/j.wocn.2020.101017</w:t>
        </w:r>
      </w:hyperlink>
      <w:r>
        <w:t xml:space="preserve">.</w:t>
      </w:r>
    </w:p>
    <w:bookmarkEnd w:id="204"/>
    <w:bookmarkStart w:id="206"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5">
        <w:r>
          <w:rPr>
            <w:rStyle w:val="Hyperlink"/>
          </w:rPr>
          <w:t xml:space="preserve">https://doi.org/10.48550/arXiv.1703.05339</w:t>
        </w:r>
      </w:hyperlink>
      <w:r>
        <w:t xml:space="preserve">.</w:t>
      </w:r>
    </w:p>
    <w:bookmarkEnd w:id="206"/>
    <w:bookmarkStart w:id="208"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07">
        <w:r>
          <w:rPr>
            <w:rStyle w:val="Hyperlink"/>
          </w:rPr>
          <w:t xml:space="preserve">https://doi.org/10.1080/02699200500113558</w:t>
        </w:r>
      </w:hyperlink>
      <w:r>
        <w:t xml:space="preserve">.</w:t>
      </w:r>
    </w:p>
    <w:bookmarkEnd w:id="208"/>
    <w:bookmarkStart w:id="210"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09">
        <w:r>
          <w:rPr>
            <w:rStyle w:val="Hyperlink"/>
          </w:rPr>
          <w:t xml:space="preserve">https://doi.org/10.1121/10.0005585</w:t>
        </w:r>
      </w:hyperlink>
      <w:r>
        <w:t xml:space="preserve">.</w:t>
      </w:r>
    </w:p>
    <w:bookmarkEnd w:id="210"/>
    <w:bookmarkStart w:id="212"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1">
        <w:r>
          <w:rPr>
            <w:rStyle w:val="Hyperlink"/>
          </w:rPr>
          <w:t xml:space="preserve">https://doi.org/10.1177/00238309251320581</w:t>
        </w:r>
      </w:hyperlink>
      <w:r>
        <w:t xml:space="preserve">.</w:t>
      </w:r>
    </w:p>
    <w:bookmarkEnd w:id="212"/>
    <w:bookmarkStart w:id="213"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3"/>
    <w:bookmarkStart w:id="214"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4"/>
    <w:bookmarkStart w:id="216"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5">
        <w:r>
          <w:rPr>
            <w:rStyle w:val="Hyperlink"/>
          </w:rPr>
          <w:t xml:space="preserve">https://doi.org/10.1016/j.wocn.2018.03.002</w:t>
        </w:r>
      </w:hyperlink>
      <w:r>
        <w:t xml:space="preserve">.</w:t>
      </w:r>
    </w:p>
    <w:bookmarkEnd w:id="216"/>
    <w:bookmarkStart w:id="218"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17">
        <w:r>
          <w:rPr>
            <w:rStyle w:val="Hyperlink"/>
          </w:rPr>
          <w:t xml:space="preserve">https://doi.org/10.1016/j.wocn.2016.09.004</w:t>
        </w:r>
      </w:hyperlink>
      <w:r>
        <w:t xml:space="preserve">.</w:t>
      </w:r>
    </w:p>
    <w:bookmarkEnd w:id="218"/>
    <w:bookmarkStart w:id="219"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19"/>
    <w:bookmarkStart w:id="221"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20">
        <w:r>
          <w:rPr>
            <w:rStyle w:val="Hyperlink"/>
          </w:rPr>
          <w:t xml:space="preserve">https://doi.org/10.1044/2024_jslhr-23-00125</w:t>
        </w:r>
      </w:hyperlink>
      <w:r>
        <w:t xml:space="preserve">.</w:t>
      </w:r>
    </w:p>
    <w:bookmarkEnd w:id="221"/>
    <w:bookmarkStart w:id="223"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2">
        <w:r>
          <w:rPr>
            <w:rStyle w:val="Hyperlink"/>
          </w:rPr>
          <w:t xml:space="preserve">https://doi.org/10.3390/s22031133</w:t>
        </w:r>
      </w:hyperlink>
      <w:r>
        <w:t xml:space="preserve">.</w:t>
      </w:r>
    </w:p>
    <w:bookmarkEnd w:id="223"/>
    <w:bookmarkStart w:id="224"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4"/>
    <w:bookmarkStart w:id="225"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5"/>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 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8" Target="https://doaj.org/article/6698290a36c244f783a59ba49617e821" TargetMode="External" /><Relationship Type="http://schemas.openxmlformats.org/officeDocument/2006/relationships/hyperlink" Id="rId176" Target="https://doi.org/10.1006/jpho.1996.0004" TargetMode="External" /><Relationship Type="http://schemas.openxmlformats.org/officeDocument/2006/relationships/hyperlink" Id="rId195" Target="https://doi.org/10.1007/b98888" TargetMode="External" /><Relationship Type="http://schemas.openxmlformats.org/officeDocument/2006/relationships/hyperlink" Id="rId172" Target="https://doi.org/10.1016/j.wocn.2014.10.001" TargetMode="External" /><Relationship Type="http://schemas.openxmlformats.org/officeDocument/2006/relationships/hyperlink" Id="rId217" Target="https://doi.org/10.1016/j.wocn.2016.09.004" TargetMode="External" /><Relationship Type="http://schemas.openxmlformats.org/officeDocument/2006/relationships/hyperlink" Id="rId215" Target="https://doi.org/10.1016/j.wocn.2018.03.002" TargetMode="External" /><Relationship Type="http://schemas.openxmlformats.org/officeDocument/2006/relationships/hyperlink" Id="rId184" Target="https://doi.org/10.1016/j.wocn.2018.10.001" TargetMode="External" /><Relationship Type="http://schemas.openxmlformats.org/officeDocument/2006/relationships/hyperlink" Id="rId203" Target="https://doi.org/10.1016/j.wocn.2020.101017" TargetMode="External" /><Relationship Type="http://schemas.openxmlformats.org/officeDocument/2006/relationships/hyperlink" Id="rId163" Target="https://doi.org/10.1017/S0954394500000892" TargetMode="External" /><Relationship Type="http://schemas.openxmlformats.org/officeDocument/2006/relationships/hyperlink" Id="rId186" Target="https://doi.org/10.1038/s41593-018-0209-y" TargetMode="External" /><Relationship Type="http://schemas.openxmlformats.org/officeDocument/2006/relationships/hyperlink" Id="rId220" Target="https://doi.org/10.1044/2024_jslhr-23-00125" TargetMode="External" /><Relationship Type="http://schemas.openxmlformats.org/officeDocument/2006/relationships/hyperlink" Id="rId207" Target="https://doi.org/10.1080/02699200500113558" TargetMode="External" /><Relationship Type="http://schemas.openxmlformats.org/officeDocument/2006/relationships/hyperlink" Id="rId198" Target="https://doi.org/10.1093/jss/fgad024" TargetMode="External" /><Relationship Type="http://schemas.openxmlformats.org/officeDocument/2006/relationships/hyperlink" Id="rId161" Target="https://doi.org/10.1121/1.2031977" TargetMode="External" /><Relationship Type="http://schemas.openxmlformats.org/officeDocument/2006/relationships/hyperlink" Id="rId156" Target="https://doi.org/10.1121/1.2205133" TargetMode="External" /><Relationship Type="http://schemas.openxmlformats.org/officeDocument/2006/relationships/hyperlink" Id="rId178" Target="https://doi.org/10.1121/1.428053" TargetMode="External" /><Relationship Type="http://schemas.openxmlformats.org/officeDocument/2006/relationships/hyperlink" Id="rId151" Target="https://doi.org/10.1121/10.0000556" TargetMode="External" /><Relationship Type="http://schemas.openxmlformats.org/officeDocument/2006/relationships/hyperlink" Id="rId209" Target="https://doi.org/10.1121/10.0005585" TargetMode="External" /><Relationship Type="http://schemas.openxmlformats.org/officeDocument/2006/relationships/hyperlink" Id="rId188" Target="https://doi.org/10.1159/000257920" TargetMode="External" /><Relationship Type="http://schemas.openxmlformats.org/officeDocument/2006/relationships/hyperlink" Id="rId211" Target="https://doi.org/10.1177/00238309251320581" TargetMode="External" /><Relationship Type="http://schemas.openxmlformats.org/officeDocument/2006/relationships/hyperlink" Id="rId174" Target="https://doi.org/10.1201/9780203753781-6" TargetMode="External" /><Relationship Type="http://schemas.openxmlformats.org/officeDocument/2006/relationships/hyperlink" Id="rId182" Target="https://doi.org/10.1515/9781474449960" TargetMode="External" /><Relationship Type="http://schemas.openxmlformats.org/officeDocument/2006/relationships/hyperlink" Id="rId193" Target="https://doi.org/10.1515/flin.1987.21.2-4.261" TargetMode="External" /><Relationship Type="http://schemas.openxmlformats.org/officeDocument/2006/relationships/hyperlink" Id="rId147" Target="https://doi.org/10.17605/OSF.IO/8ZHKU" TargetMode="External" /><Relationship Type="http://schemas.openxmlformats.org/officeDocument/2006/relationships/hyperlink" Id="rId144" Target="https://doi.org/10.18637/jss.v080.i01" TargetMode="External" /><Relationship Type="http://schemas.openxmlformats.org/officeDocument/2006/relationships/hyperlink" Id="rId170" Target="https://doi.org/10.21437/Interspeech.2019-2143" TargetMode="External" /><Relationship Type="http://schemas.openxmlformats.org/officeDocument/2006/relationships/hyperlink" Id="rId154" Target="https://doi.org/10.31219/osf.io/q6vzb" TargetMode="External" /><Relationship Type="http://schemas.openxmlformats.org/officeDocument/2006/relationships/hyperlink" Id="rId222" Target="https://doi.org/10.3390/s22031133" TargetMode="External" /><Relationship Type="http://schemas.openxmlformats.org/officeDocument/2006/relationships/hyperlink" Id="rId205" Target="https://doi.org/10.48550/arXiv.1703.05339" TargetMode="External" /><Relationship Type="http://schemas.openxmlformats.org/officeDocument/2006/relationships/hyperlink" Id="rId140" Target="https://doi.org/10.5334/labphon.19" TargetMode="External" /><Relationship Type="http://schemas.openxmlformats.org/officeDocument/2006/relationships/hyperlink" Id="rId191"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6" Target="https://github.com/uasolo/FPCA-phonetics-workshop" TargetMode="External" /><Relationship Type="http://schemas.openxmlformats.org/officeDocument/2006/relationships/hyperlink" Id="rId168"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149"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_rels/footnotes.xml.rels><?xml version="1.0" encoding="UTF-8"?><Relationships xmlns="http://schemas.openxmlformats.org/package/2006/relationships"><Relationship Type="http://schemas.openxmlformats.org/officeDocument/2006/relationships/hyperlink" Id="rId158" Target="https://doaj.org/article/6698290a36c244f783a59ba49617e821" TargetMode="External" /><Relationship Type="http://schemas.openxmlformats.org/officeDocument/2006/relationships/hyperlink" Id="rId176" Target="https://doi.org/10.1006/jpho.1996.0004" TargetMode="External" /><Relationship Type="http://schemas.openxmlformats.org/officeDocument/2006/relationships/hyperlink" Id="rId195" Target="https://doi.org/10.1007/b98888" TargetMode="External" /><Relationship Type="http://schemas.openxmlformats.org/officeDocument/2006/relationships/hyperlink" Id="rId172" Target="https://doi.org/10.1016/j.wocn.2014.10.001" TargetMode="External" /><Relationship Type="http://schemas.openxmlformats.org/officeDocument/2006/relationships/hyperlink" Id="rId217" Target="https://doi.org/10.1016/j.wocn.2016.09.004" TargetMode="External" /><Relationship Type="http://schemas.openxmlformats.org/officeDocument/2006/relationships/hyperlink" Id="rId215" Target="https://doi.org/10.1016/j.wocn.2018.03.002" TargetMode="External" /><Relationship Type="http://schemas.openxmlformats.org/officeDocument/2006/relationships/hyperlink" Id="rId184" Target="https://doi.org/10.1016/j.wocn.2018.10.001" TargetMode="External" /><Relationship Type="http://schemas.openxmlformats.org/officeDocument/2006/relationships/hyperlink" Id="rId203" Target="https://doi.org/10.1016/j.wocn.2020.101017" TargetMode="External" /><Relationship Type="http://schemas.openxmlformats.org/officeDocument/2006/relationships/hyperlink" Id="rId163" Target="https://doi.org/10.1017/S0954394500000892" TargetMode="External" /><Relationship Type="http://schemas.openxmlformats.org/officeDocument/2006/relationships/hyperlink" Id="rId186" Target="https://doi.org/10.1038/s41593-018-0209-y" TargetMode="External" /><Relationship Type="http://schemas.openxmlformats.org/officeDocument/2006/relationships/hyperlink" Id="rId220" Target="https://doi.org/10.1044/2024_jslhr-23-00125" TargetMode="External" /><Relationship Type="http://schemas.openxmlformats.org/officeDocument/2006/relationships/hyperlink" Id="rId207" Target="https://doi.org/10.1080/02699200500113558" TargetMode="External" /><Relationship Type="http://schemas.openxmlformats.org/officeDocument/2006/relationships/hyperlink" Id="rId198" Target="https://doi.org/10.1093/jss/fgad024" TargetMode="External" /><Relationship Type="http://schemas.openxmlformats.org/officeDocument/2006/relationships/hyperlink" Id="rId161" Target="https://doi.org/10.1121/1.2031977" TargetMode="External" /><Relationship Type="http://schemas.openxmlformats.org/officeDocument/2006/relationships/hyperlink" Id="rId156" Target="https://doi.org/10.1121/1.2205133" TargetMode="External" /><Relationship Type="http://schemas.openxmlformats.org/officeDocument/2006/relationships/hyperlink" Id="rId178" Target="https://doi.org/10.1121/1.428053" TargetMode="External" /><Relationship Type="http://schemas.openxmlformats.org/officeDocument/2006/relationships/hyperlink" Id="rId151" Target="https://doi.org/10.1121/10.0000556" TargetMode="External" /><Relationship Type="http://schemas.openxmlformats.org/officeDocument/2006/relationships/hyperlink" Id="rId209" Target="https://doi.org/10.1121/10.0005585" TargetMode="External" /><Relationship Type="http://schemas.openxmlformats.org/officeDocument/2006/relationships/hyperlink" Id="rId188" Target="https://doi.org/10.1159/000257920" TargetMode="External" /><Relationship Type="http://schemas.openxmlformats.org/officeDocument/2006/relationships/hyperlink" Id="rId211" Target="https://doi.org/10.1177/00238309251320581" TargetMode="External" /><Relationship Type="http://schemas.openxmlformats.org/officeDocument/2006/relationships/hyperlink" Id="rId174" Target="https://doi.org/10.1201/9780203753781-6" TargetMode="External" /><Relationship Type="http://schemas.openxmlformats.org/officeDocument/2006/relationships/hyperlink" Id="rId182" Target="https://doi.org/10.1515/9781474449960" TargetMode="External" /><Relationship Type="http://schemas.openxmlformats.org/officeDocument/2006/relationships/hyperlink" Id="rId193" Target="https://doi.org/10.1515/flin.1987.21.2-4.261" TargetMode="External" /><Relationship Type="http://schemas.openxmlformats.org/officeDocument/2006/relationships/hyperlink" Id="rId147" Target="https://doi.org/10.17605/OSF.IO/8ZHKU" TargetMode="External" /><Relationship Type="http://schemas.openxmlformats.org/officeDocument/2006/relationships/hyperlink" Id="rId144" Target="https://doi.org/10.18637/jss.v080.i01" TargetMode="External" /><Relationship Type="http://schemas.openxmlformats.org/officeDocument/2006/relationships/hyperlink" Id="rId170" Target="https://doi.org/10.21437/Interspeech.2019-2143" TargetMode="External" /><Relationship Type="http://schemas.openxmlformats.org/officeDocument/2006/relationships/hyperlink" Id="rId154" Target="https://doi.org/10.31219/osf.io/q6vzb" TargetMode="External" /><Relationship Type="http://schemas.openxmlformats.org/officeDocument/2006/relationships/hyperlink" Id="rId222" Target="https://doi.org/10.3390/s22031133" TargetMode="External" /><Relationship Type="http://schemas.openxmlformats.org/officeDocument/2006/relationships/hyperlink" Id="rId205" Target="https://doi.org/10.48550/arXiv.1703.05339" TargetMode="External" /><Relationship Type="http://schemas.openxmlformats.org/officeDocument/2006/relationships/hyperlink" Id="rId140" Target="https://doi.org/10.5334/labphon.19" TargetMode="External" /><Relationship Type="http://schemas.openxmlformats.org/officeDocument/2006/relationships/hyperlink" Id="rId191"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6" Target="https://github.com/uasolo/FPCA-phonetics-workshop" TargetMode="External" /><Relationship Type="http://schemas.openxmlformats.org/officeDocument/2006/relationships/hyperlink" Id="rId168"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149"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2025-08-01T09:56:51Z</dcterms:created>
  <dcterms:modified xsi:type="dcterms:W3CDTF">2025-08-01T09:56:51Z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2025-08-01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