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rFonts w:ascii="Calibri" w:cs="Calibri" w:eastAsia="Calibri" w:hAnsi="Calibri"/>
          <w:b/>
          <w:bCs/>
          <w:color w:val="1D2430"/>
          <w:sz w:val="44"/>
          <w:szCs w:val="44"/>
        </w:rPr>
        <w:t xml:space="preserve">North / Hub Backlog Ledger</w:t>
      </w:r>
    </w:p>
    <w:p>
      <w:pPr>
        <w:spacing w:after="60"/>
      </w:pPr>
      <w:r>
        <w:rPr>
          <w:rFonts w:ascii="Calibri" w:cs="Calibri" w:eastAsia="Calibri" w:hAnsi="Calibri"/>
          <w:color w:val="5C6472"/>
          <w:sz w:val="22"/>
          <w:szCs w:val="22"/>
        </w:rPr>
        <w:t xml:space="preserve">Every open item across North and Hub-Backend, categorized and prioritized, with the trade-off behind each one.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5C6472"/>
          <w:sz w:val="18"/>
          <w:szCs w:val="18"/>
        </w:rPr>
        <w:t xml:space="preserve">Compiled 2026-09-03, updated same day · source: claude/2026-09-03-north-hub-backlog.md</w:t>
      </w:r>
    </w:p>
    <w:p>
      <w:pPr>
        <w:pBdr>
          <w:bottom w:val="single" w:color="DDD8CC" w:sz="6" w:space="8"/>
        </w:pBdr>
        <w:spacing w:after="280"/>
      </w:pPr>
      <w:r>
        <w:rPr>
          <w:rFonts w:ascii="Calibri" w:cs="Calibri" w:eastAsia="Calibri" w:hAnsi="Calibri"/>
          <w:b/>
          <w:bCs/>
          <w:color w:val="1E3D68"/>
          <w:sz w:val="20"/>
          <w:szCs w:val="20"/>
        </w:rPr>
        <w:t xml:space="preserve">How to use this document: </w:t>
      </w:r>
      <w:r>
        <w:rPr>
          <w:rFonts w:ascii="Calibri" w:cs="Calibri" w:eastAsia="Calibri" w:hAnsi="Calibri"/>
          <w:color w:val="1D2430"/>
          <w:sz w:val="20"/>
          <w:szCs w:val="20"/>
        </w:rPr>
        <w:t xml:space="preserve">add your notes, decisions, or instructions in the right-most "Your comments / instructions" column of each table, then return this file. Priority key — </w:t>
      </w:r>
      <w:r>
        <w:rPr>
          <w:rFonts w:ascii="Calibri" w:cs="Calibri" w:eastAsia="Calibri" w:hAnsi="Calibri"/>
          <w:b/>
          <w:bCs/>
          <w:color w:val="8A1F11"/>
          <w:sz w:val="20"/>
          <w:szCs w:val="20"/>
        </w:rPr>
        <w:t xml:space="preserve">P0</w:t>
      </w:r>
      <w:r>
        <w:rPr>
          <w:rFonts w:ascii="Calibri" w:cs="Calibri" w:eastAsia="Calibri" w:hAnsi="Calibri"/>
          <w:color w:val="1D2430"/>
          <w:sz w:val="20"/>
          <w:szCs w:val="20"/>
        </w:rPr>
        <w:t xml:space="preserve"> blocking/security, act now  ·  </w:t>
      </w:r>
      <w:r>
        <w:rPr>
          <w:rFonts w:ascii="Calibri" w:cs="Calibri" w:eastAsia="Calibri" w:hAnsi="Calibri"/>
          <w:b/>
          <w:bCs/>
          <w:color w:val="8A5A00"/>
          <w:sz w:val="20"/>
          <w:szCs w:val="20"/>
        </w:rPr>
        <w:t xml:space="preserve">P1</w:t>
      </w:r>
      <w:r>
        <w:rPr>
          <w:rFonts w:ascii="Calibri" w:cs="Calibri" w:eastAsia="Calibri" w:hAnsi="Calibri"/>
          <w:color w:val="1D2430"/>
          <w:sz w:val="20"/>
          <w:szCs w:val="20"/>
        </w:rPr>
        <w:t xml:space="preserve"> high value, ready or near-ready  ·  </w:t>
      </w:r>
      <w:r>
        <w:rPr>
          <w:rFonts w:ascii="Calibri" w:cs="Calibri" w:eastAsia="Calibri" w:hAnsi="Calibri"/>
          <w:b/>
          <w:bCs/>
          <w:color w:val="1F5F37"/>
          <w:sz w:val="20"/>
          <w:szCs w:val="20"/>
        </w:rPr>
        <w:t xml:space="preserve">P2</w:t>
      </w:r>
      <w:r>
        <w:rPr>
          <w:rFonts w:ascii="Calibri" w:cs="Calibri" w:eastAsia="Calibri" w:hAnsi="Calibri"/>
          <w:color w:val="1D2430"/>
          <w:sz w:val="20"/>
          <w:szCs w:val="20"/>
        </w:rPr>
        <w:t xml:space="preserve"> real value, needs scoping or a decision first  ·  </w:t>
      </w:r>
      <w:r>
        <w:rPr>
          <w:rFonts w:ascii="Calibri" w:cs="Calibri" w:eastAsia="Calibri" w:hAnsi="Calibri"/>
          <w:b/>
          <w:bCs/>
          <w:color w:val="4B5563"/>
          <w:sz w:val="20"/>
          <w:szCs w:val="20"/>
        </w:rPr>
        <w:t xml:space="preserve">P3</w:t>
      </w:r>
      <w:r>
        <w:rPr>
          <w:rFonts w:ascii="Calibri" w:cs="Calibri" w:eastAsia="Calibri" w:hAnsi="Calibri"/>
          <w:color w:val="1D2430"/>
          <w:sz w:val="20"/>
          <w:szCs w:val="20"/>
        </w:rPr>
        <w:t xml:space="preserve"> later / nice-to-have</w:t>
      </w:r>
    </w:p>
    <w:p>
      <w:pPr>
        <w:pStyle w:val="Heading1"/>
        <w:spacing w:after="80" w:before="0"/>
      </w:pPr>
      <w:r>
        <w:rPr>
          <w:rFonts w:ascii="Calibri" w:cs="Calibri" w:eastAsia="Calibri" w:hAnsi="Calibri"/>
          <w:b/>
          <w:bCs/>
          <w:color w:val="1E3D68"/>
          <w:sz w:val="28"/>
          <w:szCs w:val="28"/>
        </w:rPr>
        <w:t xml:space="preserve">Security &amp; data integrity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6472"/>
          <w:sz w:val="18"/>
          <w:szCs w:val="18"/>
        </w:rPr>
        <w:t xml:space="preserve">The two P0s are pure operational blockers. The other two are real trade-off calls.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00"/>
        <w:gridCol w:w="850"/>
        <w:gridCol w:w="1300"/>
        <w:gridCol w:w="2350"/>
        <w:gridCol w:w="2350"/>
        <w:gridCol w:w="2350"/>
        <w:gridCol w:w="2148"/>
      </w:tblGrid>
      <w:tr>
        <w:trPr>
          <w:tblHeader/>
        </w:trPr>
        <w:tc>
          <w:tcPr>
            <w:tcW w:type="dxa" w:w="14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8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3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2148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Your comments / instructions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Push all local commits to GitHub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every repo, every session</w:t>
            </w:r>
          </w:p>
        </w:tc>
        <w:tc>
          <w:tcPr>
            <w:tcW w:type="dxa" w:w="850"/>
            <w:shd w:fill="FBE6E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1F11"/>
                <w:sz w:val="17"/>
                <w:szCs w:val="17"/>
              </w:rPr>
              <w:t xml:space="preserve">P0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Blocking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Nothing — pure risk reduction, not a feature.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Every session's work sits local-only until pushed by hand; a lost/corrupted machine loses unpushed history.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Device-bridge shell has no stored GitHub credentials and can't fix this itself — needs a git credential set up on your machine once (PAT or keychain), or continue pushing manually after each session.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Approve device binding for nightly scheduled task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north-hub-issue-collator</w:t>
            </w:r>
          </w:p>
        </w:tc>
        <w:tc>
          <w:tcPr>
            <w:tcW w:type="dxa" w:w="850"/>
            <w:shd w:fill="FBE6E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1F11"/>
                <w:sz w:val="17"/>
                <w:szCs w:val="17"/>
              </w:rPr>
              <w:t xml:space="preserve">P0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Blocking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One-time approval; the nightly run then gets a real git read instead of log-only.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None — just an approval you haven't gotten to yet.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Approve once in the desktop app. Five minutes, unblocks every future nightly run.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"Bodgit users' roles stripped again"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root cause diagnosed, not fixed</w:t>
            </w:r>
          </w:p>
        </w:tc>
        <w:tc>
          <w:tcPr>
            <w:tcW w:type="dxa" w:w="850"/>
            <w:shd w:fill="FBEE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7"/>
                <w:szCs w:val="17"/>
              </w:rPr>
              <w:t xml:space="preserve">P1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decision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Root cause understood: two org-change controls (per-user vs per-role) look similar but behave differently. Fixing prevents a recurring, confusing data problem.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Two viable fixes identified, both change existing admin behavior — not a call to make unilaterally.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your pick between the two options before either gets built.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Real encryption for stored secrets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encrypt_json/decrypt_json is plain JSON today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Accepted tradeoff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Closes a real gap now that Hub-Backend is on a public Vercel URL, not localhost-only.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Real engineering (key management, migrating existing rows); deployment is still single-tenant, so urgency is moderate.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Re-flagging only because the risk profile shifted with the public URL — your call whether the original tradeoff still holds.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  <w:color w:val="1E3D68"/>
          <w:sz w:val="28"/>
          <w:szCs w:val="28"/>
        </w:rPr>
        <w:t xml:space="preserve">Testing &amp; sample data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6472"/>
          <w:sz w:val="18"/>
          <w:szCs w:val="18"/>
        </w:rPr>
        <w:t xml:space="preserve">Today's urgent thread. Two seed files are ready to run; the rest is about actually being able to test the live app end to end.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00"/>
        <w:gridCol w:w="850"/>
        <w:gridCol w:w="1300"/>
        <w:gridCol w:w="2350"/>
        <w:gridCol w:w="2350"/>
        <w:gridCol w:w="2350"/>
        <w:gridCol w:w="2148"/>
      </w:tblGrid>
      <w:tr>
        <w:trPr>
          <w:tblHeader/>
        </w:trPr>
        <w:tc>
          <w:tcPr>
            <w:tcW w:type="dxa" w:w="14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8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3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2148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Your comments / instructions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Test-data seed v2 — programmes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6 programmes · 16 campaigns · ~40 activities</w:t>
            </w:r>
          </w:p>
        </w:tc>
        <w:tc>
          <w:tcPr>
            <w:tcW w:type="dxa" w:w="850"/>
            <w:shd w:fill="FBEE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7"/>
                <w:szCs w:val="17"/>
              </w:rPr>
              <w:t xml:space="preserve">P1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Ready to run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Built today per your direct request — real depth to demo (Programme → Campaign → Activity), varied timing/budget/currency.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None found; review-only SQL, needs your COMMIT to land.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Review 2026-09-03-north-test-data-seed-v2-programmes.sql in Bodgit&amp;Scarpa, then run it.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Test-data seed v1 — trigger coverage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6 campaigns, 1 per automation trigger</w:t>
            </w:r>
          </w:p>
        </w:tc>
        <w:tc>
          <w:tcPr>
            <w:tcW w:type="dxa" w:w="850"/>
            <w:shd w:fill="FBEED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17"/>
                <w:szCs w:val="17"/>
              </w:rPr>
              <w:t xml:space="preserve">P1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Ready to run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Exercises every Process Maps trigger type plus multi-currency in one small, targeted seed.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None found; independent of v2, can run either or both.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Same review-then-COMMIT pattern; can run alongside v2 with no collision.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Automated QA has no way to log in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surfaced by the stress-test attempt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decision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A real login path would unlock automated regression testing of the actual app going forward.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Entering credentials on your behalf is off-limits by standing rule, even with a test account.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Decide how future automated passes should authenticate — this blocks any deeper stress test.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Real load / performance test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concurrent-request stress test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go-ahead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Would surface real capacity limits before wider rollout to external testers.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Live production, shared Supabase data, no staging environment — real risk without authorization.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Correctly not run. Needs your explicit go-ahead, ideally against a non-prod environment.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Norma "Feedback" tab — copy contradicts itself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Hub/Seek feedback: logged separately, or captured here?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check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Trivial fix once resolved.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Can't tell from the front-end code alone which behavior is actually true.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A quick admin check (submit a test Hub/Seek report, see where it lands) settles this.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Reportus.html — two version numbers in one file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v0.1.0 and v0.2708.7 both present</w:t>
            </w:r>
          </w:p>
        </w:tc>
        <w:tc>
          <w:tcPr>
            <w:tcW w:type="dxa" w:w="850"/>
            <w:shd w:fill="ECEA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7"/>
                <w:szCs w:val="17"/>
              </w:rPr>
              <w:t xml:space="preserve">P3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Hygiene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30-second fix, removes confusion.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None.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Bundle with the next Reportus change.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  <w:color w:val="1E3D68"/>
          <w:sz w:val="28"/>
          <w:szCs w:val="28"/>
        </w:rPr>
        <w:t xml:space="preserve">Data model &amp; product decisions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6472"/>
          <w:sz w:val="18"/>
          <w:szCs w:val="18"/>
        </w:rPr>
        <w:t xml:space="preserve">Nothing more to build here without you — each is a real product call.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00"/>
        <w:gridCol w:w="850"/>
        <w:gridCol w:w="1300"/>
        <w:gridCol w:w="2350"/>
        <w:gridCol w:w="2350"/>
        <w:gridCol w:w="2350"/>
        <w:gridCol w:w="2148"/>
      </w:tblGrid>
      <w:tr>
        <w:trPr>
          <w:tblHeader/>
        </w:trPr>
        <w:tc>
          <w:tcPr>
            <w:tcW w:type="dxa" w:w="14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8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3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2148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Your comments / instructions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Hub → North campaign push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activity data crossing the boundary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scoping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Closes a genuine workflow gap between the two tools.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4 open questions (fields, "executed" meaning, "results" contents, conflict handling) before a spec is possible.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A short call or written answers to the 4 questions unlocks a real spec + estimate.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Activity-to-campaign N:M split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mirrors Partner-allocation pattern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confirmation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More accurate attribution when one activity serves multiple campaigns.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Real schema change — a join table with role + % share per link.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Confirm this is actually wanted before touching the activity data model.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Scoring model rebuild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Augur.html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Phase-1 ready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Phase-1 recommendation already written up and ready for sign-off.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The exact behavioral-scoring formula is a product call only you can make.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Review the phase-1 recommendation, sign off on the formula.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ICP fields — revenue range &amp; tech stack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Prospectus.html</w:t>
            </w:r>
          </w:p>
        </w:tc>
        <w:tc>
          <w:tcPr>
            <w:tcW w:type="dxa" w:w="850"/>
            <w:shd w:fill="ECEA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7"/>
                <w:szCs w:val="17"/>
              </w:rPr>
              <w:t xml:space="preserve">P3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data source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Richer targeting data once available.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 data source chosen yet (manual entry vs an enrichment provider).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Pick a data source before this can move.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  <w:color w:val="1E3D68"/>
          <w:sz w:val="28"/>
          <w:szCs w:val="28"/>
        </w:rPr>
        <w:t xml:space="preserve">Automation &amp; feature depth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00"/>
        <w:gridCol w:w="850"/>
        <w:gridCol w:w="1300"/>
        <w:gridCol w:w="2350"/>
        <w:gridCol w:w="2350"/>
        <w:gridCol w:w="2350"/>
        <w:gridCol w:w="2148"/>
      </w:tblGrid>
      <w:tr>
        <w:trPr>
          <w:tblHeader/>
        </w:trPr>
        <w:tc>
          <w:tcPr>
            <w:tcW w:type="dxa" w:w="14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8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3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2148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Your comments / instructions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Multi-currency → live formulas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display layer done in all 4 modules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scoping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Makes the already-shipped currency conversion actually feed forecasts/rollups/KPIs, not just display.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Higher-risk than the display work — touches real calculations, recommended one module at a time.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Pick a starting module when ready.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Custom-branded password-reset email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new — surfaced this morning</w:t>
            </w:r>
          </w:p>
        </w:tc>
        <w:tc>
          <w:tcPr>
            <w:tcW w:type="dxa" w:w="850"/>
            <w:shd w:fill="ECEA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7"/>
                <w:szCs w:val="17"/>
              </w:rPr>
              <w:t xml:space="preserve">P3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Low priority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Removes the need to go into Supabase to edit reset-email wording/branding.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Two paths, neither trivial: edit the Supabase Auth template directly, or a new Hub-Backend-generated link + send.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Low urgency — the reset flow works; this is polish.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Board report — refresh &amp; deck design polish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all 7 sections + AI narrative + PPTX already built</w:t>
            </w:r>
          </w:p>
        </w:tc>
        <w:tc>
          <w:tcPr>
            <w:tcW w:type="dxa" w:w="850"/>
            <w:shd w:fill="ECEA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7"/>
                <w:szCs w:val="17"/>
              </w:rPr>
              <w:t xml:space="preserve">P3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Optional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Real-time (vs snapshot) refresh, revisited slide design.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 functional gap today — this is refinement of something already complete.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Only worth doing if you want the refresh behavior or deck design specifically changed.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  <w:color w:val="1E3D68"/>
          <w:sz w:val="28"/>
          <w:szCs w:val="28"/>
        </w:rPr>
        <w:t xml:space="preserve">Integrations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6472"/>
          <w:sz w:val="18"/>
          <w:szCs w:val="18"/>
        </w:rPr>
        <w:t xml:space="preserve">Email (Gmail send) and Slack/Teams alerting are already live — this is what’s left.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00"/>
        <w:gridCol w:w="850"/>
        <w:gridCol w:w="1300"/>
        <w:gridCol w:w="2350"/>
        <w:gridCol w:w="2350"/>
        <w:gridCol w:w="2350"/>
        <w:gridCol w:w="2148"/>
      </w:tblGrid>
      <w:tr>
        <w:trPr>
          <w:tblHeader/>
        </w:trPr>
        <w:tc>
          <w:tcPr>
            <w:tcW w:type="dxa" w:w="14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8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3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2148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Your comments / instructions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CRM connectors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HubSpot / Salesforce / Dynamics / NetSuite / Marketo</w:t>
            </w:r>
          </w:p>
        </w:tc>
        <w:tc>
          <w:tcPr>
            <w:tcW w:type="dxa" w:w="850"/>
            <w:shd w:fill="ECEA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7"/>
                <w:szCs w:val="17"/>
              </w:rPr>
              <w:t xml:space="preserve">P3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High potential value for lead/deal sync; pros/cons per option already written up.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Significant net-new work, all through Hub-Backend, none scoped in detail yet.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Pick a first CRM target when ready to prioritize.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Full Microsoft/Outlook OAuth + Drive/SharePoint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Outlook send today is a stub, not finished</w:t>
            </w:r>
          </w:p>
        </w:tc>
        <w:tc>
          <w:tcPr>
            <w:tcW w:type="dxa" w:w="850"/>
            <w:shd w:fill="ECEA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7"/>
                <w:szCs w:val="17"/>
              </w:rPr>
              <w:t xml:space="preserve">P3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Rounds out comms/storage coverage for Microsoft-shop customers.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Net-new OAuth integration, real effort.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Lower priority than CRM unless a specific customer need pushes it up.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  <w:color w:val="1E3D68"/>
          <w:sz w:val="28"/>
          <w:szCs w:val="28"/>
        </w:rPr>
        <w:t xml:space="preserve">New major features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6472"/>
          <w:sz w:val="18"/>
          <w:szCs w:val="18"/>
        </w:rPr>
        <w:t xml:space="preserve">Added 2026-09-03 via comment on the backlog ledger. None started — captured for scoping/prioritization.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00"/>
        <w:gridCol w:w="850"/>
        <w:gridCol w:w="1300"/>
        <w:gridCol w:w="2350"/>
        <w:gridCol w:w="2350"/>
        <w:gridCol w:w="2350"/>
        <w:gridCol w:w="2148"/>
      </w:tblGrid>
      <w:tr>
        <w:trPr>
          <w:tblHeader/>
        </w:trPr>
        <w:tc>
          <w:tcPr>
            <w:tcW w:type="dxa" w:w="14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8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3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2148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Your comments / instructions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Hub/Queue — North-aligned look &amp; feel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2nd UI mode, same data, ERP-style (Dynamics/NetSuite)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examples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Consistent, enterprise-familiar experience for North-integrated users without touching the standalone version; both modes read/write the same data.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Two front-ends to maintain long-term; real design work needed before a build estimate is possible.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Next step is exploratory: mock up 2-3 example screens in a Dynamics/NetSuite-style layout before committing to a build plan.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Rename Contact module → "Account Intelligence Hub"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Hub → AH, Queue → AQ (sub-module of AH)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scoping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Clearer, more enterprise-appropriate naming; short codes (AH/AQ) fit a broader naming scheme.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Touches many surfaces — nav labels, Help/FAQ, file names/URLs (contact-seeker-hub.html, linkedin-queue.html); a full rename needs redirects.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Decide scope first: display-label rename only (low risk) vs. full file/URL rename (bigger) — recommend starting with the former.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AI screen interpreter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context-aware "explain this screen" / suggestions, routable to org’s chosen AI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scoping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A genuine differentiator — contextual help embedded in every screen; builds on the existing skill/agent-registry work.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Real new scope: screen-context capture, a permission model for AI routing, and a skill-authoring format all need design first.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Phase it: (1) define the skills-folder + AI-routing/permissions config, (2) prototype "explain this screen" in one module first.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Relationship graph view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people / data / teams / assets / campaigns — filterable, drill-down, break detection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Needs scoping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Strong discovery/audit tool — could have surfaced this session’s own "orphaned role" incidents faster.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Meaningfully new: a graph-rendering approach, a unified relationship model across separate tables, and real design work on what "a connection" means.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Scope a small v1 first — e.g. campaigns ↔ owners ↔ business units only — rather than a universal graph.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  <w:color w:val="1E3D68"/>
          <w:sz w:val="28"/>
          <w:szCs w:val="28"/>
        </w:rPr>
        <w:t xml:space="preserve">Architecture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00"/>
        <w:gridCol w:w="850"/>
        <w:gridCol w:w="1300"/>
        <w:gridCol w:w="2350"/>
        <w:gridCol w:w="2350"/>
        <w:gridCol w:w="2350"/>
        <w:gridCol w:w="2148"/>
      </w:tblGrid>
      <w:tr>
        <w:trPr>
          <w:tblHeader/>
        </w:trPr>
        <w:tc>
          <w:tcPr>
            <w:tcW w:type="dxa" w:w="14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8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3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2148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Your comments / instructions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North's per-file architecture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9 independent HTML files, no shared JS</w:t>
            </w:r>
          </w:p>
        </w:tc>
        <w:tc>
          <w:tcPr>
            <w:tcW w:type="dxa" w:w="850"/>
            <w:shd w:fill="E2F1E6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5F37"/>
                <w:sz w:val="17"/>
                <w:szCs w:val="17"/>
              </w:rPr>
              <w:t xml:space="preserve">P2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Cost/options written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Every "apply everywhere" change becomes 1 edit instead of 9; full cost breakdown already documented.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Large refactor, real regression risk — needs a dedicated review pass.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Worth a deliberate look given how often this comes up — your call on timing.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Unified organization view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spec drafted</w:t>
            </w:r>
          </w:p>
        </w:tc>
        <w:tc>
          <w:tcPr>
            <w:tcW w:type="dxa" w:w="850"/>
            <w:shd w:fill="ECEA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7"/>
                <w:szCs w:val="17"/>
              </w:rPr>
              <w:t xml:space="preserve">P3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Spec drafted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Wanted feature, spec already exists to build from.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Not started — meaningful new build.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Ready whenever prioritized.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Consolidate admin actions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North vs Hub settings split</w:t>
            </w:r>
          </w:p>
        </w:tc>
        <w:tc>
          <w:tcPr>
            <w:tcW w:type="dxa" w:w="850"/>
            <w:shd w:fill="ECEA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7"/>
                <w:szCs w:val="17"/>
              </w:rPr>
              <w:t xml:space="preserve">P3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Simplifies where admins go to find controls.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Mirror-then-cut migration — nothing moved yet.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Lower priority than the per-file architecture question.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  <w:color w:val="1E3D68"/>
          <w:sz w:val="28"/>
          <w:szCs w:val="28"/>
        </w:rPr>
        <w:t xml:space="preserve">Housekeeping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500"/>
        <w:gridCol w:w="850"/>
        <w:gridCol w:w="1300"/>
        <w:gridCol w:w="2350"/>
        <w:gridCol w:w="2350"/>
        <w:gridCol w:w="2350"/>
        <w:gridCol w:w="2148"/>
      </w:tblGrid>
      <w:tr>
        <w:trPr>
          <w:tblHeader/>
        </w:trPr>
        <w:tc>
          <w:tcPr>
            <w:tcW w:type="dxa" w:w="14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25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  <w:tc>
          <w:tcPr>
            <w:tcW w:type="dxa" w:w="8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13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Pros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Cons</w:t>
            </w:r>
          </w:p>
        </w:tc>
        <w:tc>
          <w:tcPr>
            <w:tcW w:type="dxa" w:w="235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2148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Your comments / instructions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Confirm business-units SQL migration applied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strong indirect evidence it’s live</w:t>
            </w:r>
          </w:p>
        </w:tc>
        <w:tc>
          <w:tcPr>
            <w:tcW w:type="dxa" w:w="850"/>
            <w:shd w:fill="ECEA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7"/>
                <w:szCs w:val="17"/>
              </w:rPr>
              <w:t xml:space="preserve">P3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Quick check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Closes the loop with essentially no effort.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None.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10 seconds in Supabase’s table editor.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4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Untrack compiled .pyc file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i/>
                <w:iCs/>
                <w:color w:val="5C6472"/>
                <w:sz w:val="16"/>
                <w:szCs w:val="16"/>
              </w:rPr>
              <w:t xml:space="preserve">hub_local_api.cpython-310.pyc committed alongside .py</w:t>
            </w:r>
          </w:p>
        </w:tc>
        <w:tc>
          <w:tcPr>
            <w:tcW w:type="dxa" w:w="850"/>
            <w:shd w:fill="ECEA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B5563"/>
                <w:sz w:val="17"/>
                <w:szCs w:val="17"/>
              </w:rPr>
              <w:t xml:space="preserve">P3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Hygiene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Cleaner diffs going forward.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None — not a security issue.</w:t>
            </w:r>
          </w:p>
        </w:tc>
        <w:tc>
          <w:tcPr>
            <w:tcW w:type="dxa" w:w="23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Bundle into the next repo-cleanup pass.</w:t>
            </w:r>
          </w:p>
        </w:tc>
        <w:tc>
          <w:tcPr>
            <w:tcW w:type="dxa" w:w="214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 </w:t>
            </w:r>
          </w:p>
        </w:tc>
      </w:tr>
    </w:tbl>
    <w:p>
      <w:pPr>
        <w:spacing w:after="120"/>
      </w:pPr>
    </w:p>
    <w:p>
      <w:pPr>
        <w:pStyle w:val="Heading1"/>
        <w:spacing w:after="80" w:before="320"/>
      </w:pPr>
      <w:r>
        <w:rPr>
          <w:rFonts w:ascii="Calibri" w:cs="Calibri" w:eastAsia="Calibri" w:hAnsi="Calibri"/>
          <w:b/>
          <w:bCs/>
          <w:color w:val="1E3D68"/>
          <w:sz w:val="28"/>
          <w:szCs w:val="28"/>
        </w:rPr>
        <w:t xml:space="preserve">Deliberately parked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C6472"/>
          <w:sz w:val="18"/>
          <w:szCs w:val="18"/>
        </w:rPr>
        <w:t xml:space="preserve">Considered and set aside on purpose, not forgotten. No pros/cons debate needed unless priorities change.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0898"/>
      </w:tblGrid>
      <w:tr>
        <w:trPr>
          <w:tblHeader/>
        </w:trPr>
        <w:tc>
          <w:tcPr>
            <w:tcW w:type="dxa" w:w="4500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10898"/>
            <w:shd w:fill="1E3D68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Why it’s parked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Expert mode in other modules</w:t>
            </w:r>
          </w:p>
        </w:tc>
        <w:tc>
          <w:tcPr>
            <w:tcW w:type="dxa" w:w="1089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Shipped in one module as a pilot; rollout elsewhere on hold.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Super User as a cross-org tier</w:t>
            </w:r>
          </w:p>
        </w:tc>
        <w:tc>
          <w:tcPr>
            <w:tcW w:type="dxa" w:w="1089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Would break the single-org-per-deployment model Hub-Backend relies on.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Events Gantt / table / board views</w:t>
            </w:r>
          </w:p>
        </w:tc>
        <w:tc>
          <w:tcPr>
            <w:tcW w:type="dxa" w:w="1089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Scheduled to revisit once "the list" is cleared.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2 low-value drilldown cards</w:t>
            </w:r>
          </w:p>
        </w:tc>
        <w:tc>
          <w:tcPr>
            <w:tcW w:type="dxa" w:w="1089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Prospectus Filters, Schema Diagrams — left as full-page links per the drilldown proposal.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Real-time live FX-rate API</w:t>
            </w:r>
          </w:p>
        </w:tc>
        <w:tc>
          <w:tcPr>
            <w:tcW w:type="dxa" w:w="1089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Deliberately snapshot/manual-refresh only.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1D2430"/>
                <w:sz w:val="18"/>
                <w:szCs w:val="18"/>
              </w:rPr>
              <w:t xml:space="preserve">Predictive/hybrid scoring model types</w:t>
            </w:r>
          </w:p>
        </w:tc>
        <w:tc>
          <w:tcPr>
            <w:tcW w:type="dxa" w:w="10898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1D2430"/>
                <w:sz w:val="18"/>
                <w:szCs w:val="18"/>
              </w:rPr>
              <w:t xml:space="preserve">Deferred until the phase-1 scoring rebuild lands.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rPr>
          <w:rFonts w:ascii="Calibri" w:cs="Calibri" w:eastAsia="Calibri" w:hAnsi="Calibri"/>
          <w:b/>
          <w:bCs/>
          <w:color w:val="1E3D68"/>
          <w:sz w:val="28"/>
          <w:szCs w:val="28"/>
        </w:rPr>
        <w:t xml:space="preserve">Backlog entry template</w:t>
      </w:r>
    </w:p>
    <w:p>
      <w:pPr>
        <w:spacing w:after="160"/>
      </w:pPr>
      <w:r>
        <w:rPr>
          <w:rFonts w:ascii="Calibri" w:cs="Calibri" w:eastAsia="Calibri" w:hAnsi="Calibri"/>
          <w:color w:val="1D2430"/>
          <w:sz w:val="20"/>
          <w:szCs w:val="20"/>
        </w:rPr>
        <w:t xml:space="preserve">The structure every row above follows — use this shape for new additions. One row, one decision; if an item needs more than one decision, split it into two rows.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D68"/>
          <w:sz w:val="19"/>
          <w:szCs w:val="19"/>
        </w:rPr>
        <w:t xml:space="preserve">Item: </w:t>
      </w:r>
      <w:r>
        <w:rPr>
          <w:rFonts w:ascii="Calibri" w:cs="Calibri" w:eastAsia="Calibri" w:hAnsi="Calibri"/>
          <w:color w:val="1D2430"/>
          <w:sz w:val="19"/>
          <w:szCs w:val="19"/>
        </w:rPr>
        <w:t xml:space="preserve">Short name + one-line context.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D68"/>
          <w:sz w:val="19"/>
          <w:szCs w:val="19"/>
        </w:rPr>
        <w:t xml:space="preserve">Category: </w:t>
      </w:r>
      <w:r>
        <w:rPr>
          <w:rFonts w:ascii="Calibri" w:cs="Calibri" w:eastAsia="Calibri" w:hAnsi="Calibri"/>
          <w:color w:val="1D2430"/>
          <w:sz w:val="19"/>
          <w:szCs w:val="19"/>
        </w:rPr>
        <w:t xml:space="preserve">Security &amp; data integrity · Testing &amp; sample data · Data model &amp; product decisions · Automation &amp; feature depth · Integrations · Architecture · Housekeeping · New major features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D68"/>
          <w:sz w:val="19"/>
          <w:szCs w:val="19"/>
        </w:rPr>
        <w:t xml:space="preserve">Priority: </w:t>
      </w:r>
      <w:r>
        <w:rPr>
          <w:rFonts w:ascii="Calibri" w:cs="Calibri" w:eastAsia="Calibri" w:hAnsi="Calibri"/>
          <w:color w:val="1D2430"/>
          <w:sz w:val="19"/>
          <w:szCs w:val="19"/>
        </w:rPr>
        <w:t xml:space="preserve">P0 blocking/security · P1 high value, ready · P2 real value, needs scoping · P3 later/nice-to-have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D68"/>
          <w:sz w:val="19"/>
          <w:szCs w:val="19"/>
        </w:rPr>
        <w:t xml:space="preserve">Status: </w:t>
      </w:r>
      <w:r>
        <w:rPr>
          <w:rFonts w:ascii="Calibri" w:cs="Calibri" w:eastAsia="Calibri" w:hAnsi="Calibri"/>
          <w:color w:val="1D2430"/>
          <w:sz w:val="19"/>
          <w:szCs w:val="19"/>
        </w:rPr>
        <w:t xml:space="preserve">Ready to run · Ready to build · Needs scoping · Needs decision · Needs confirmation · Needs check · Blocking · Accepted tradeoff · Optional · Hygiene · Not started · Parked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D68"/>
          <w:sz w:val="19"/>
          <w:szCs w:val="19"/>
        </w:rPr>
        <w:t xml:space="preserve">Pros: </w:t>
      </w:r>
      <w:r>
        <w:rPr>
          <w:rFonts w:ascii="Calibri" w:cs="Calibri" w:eastAsia="Calibri" w:hAnsi="Calibri"/>
          <w:color w:val="1D2430"/>
          <w:sz w:val="19"/>
          <w:szCs w:val="19"/>
        </w:rPr>
        <w:t xml:space="preserve">The concrete upside — the actual thing it fixes or unlocks.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D68"/>
          <w:sz w:val="19"/>
          <w:szCs w:val="19"/>
        </w:rPr>
        <w:t xml:space="preserve">Cons: </w:t>
      </w:r>
      <w:r>
        <w:rPr>
          <w:rFonts w:ascii="Calibri" w:cs="Calibri" w:eastAsia="Calibri" w:hAnsi="Calibri"/>
          <w:color w:val="1D2430"/>
          <w:sz w:val="19"/>
          <w:szCs w:val="19"/>
        </w:rPr>
        <w:t xml:space="preserve">The real cost or risk — effort, irreversibility, open questions.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3D68"/>
          <w:sz w:val="19"/>
          <w:szCs w:val="19"/>
        </w:rPr>
        <w:t xml:space="preserve">Recommendation: </w:t>
      </w:r>
      <w:r>
        <w:rPr>
          <w:rFonts w:ascii="Calibri" w:cs="Calibri" w:eastAsia="Calibri" w:hAnsi="Calibri"/>
          <w:color w:val="1D2430"/>
          <w:sz w:val="19"/>
          <w:szCs w:val="19"/>
        </w:rPr>
        <w:t xml:space="preserve">The one next action, addressed to whoever owns it.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2026-09-04T00:37:29.019Z</dcterms:created>
  <dcterms:modified xsi:type="dcterms:W3CDTF">2026-09-04T00:37:29.019Z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