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u w:val="single"/>
        </w:rPr>
      </w:pPr>
      <w:r>
        <w:rPr>
          <w:u w:val="single"/>
        </w:rPr>
        <w:t xml:space="preserve">Cartine e cialdini</w:t>
      </w:r>
      <w:r>
        <w:rPr>
          <w:u w:val="single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dell'aspetto e della tenuta del contenitore (sacchetto, cartina, cialdino, ecc.)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 numero di dosi allestite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uniformità di massa delle forme farmaceutiche a dose unica come da NBP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dell'etichetta</w:t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14:ligatures w14:val="none"/>
        </w:rPr>
      </w:pPr>
      <w:r>
        <w:rPr>
          <w:u w:val="single"/>
          <w:lang w:val="undefined" w:bidi="undefined"/>
        </w:rPr>
      </w:r>
      <w:r>
        <w:rPr>
          <w:u w:val="single"/>
          <w:lang w:val="undefined"/>
        </w:rPr>
        <w:t xml:space="preserve">Polveri composte e piante per tisane</w:t>
      </w:r>
      <w:r>
        <w:rPr>
          <w:u w:val="single"/>
          <w:lang w:val="undefined" w:bidi="undefined"/>
        </w:rPr>
      </w:r>
      <w:r>
        <w:rPr>
          <w:u w:val="single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dell'aspetto e della tenuta del contenitore (sacchetto, cartina, cialdino, ecc.)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 numero di dosi allestite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 w:line="240" w:lineRule="auto"/>
        <w:ind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dell'etichetta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Bdr/>
        <w:spacing/>
        <w:ind/>
        <w:rPr>
          <w:highlight w:val="none"/>
          <w:u w:val="single"/>
        </w:rPr>
      </w:pPr>
      <w:r>
        <w:rPr>
          <w:u w:val="single"/>
        </w:rPr>
        <w:t xml:space="preserve">Capsule</w:t>
      </w:r>
      <w:r>
        <w:rPr>
          <w:highlight w:val="none"/>
          <w:u w:val="single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dell’aspetto e della tenuta delle capsule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 numero di capsule allestite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uniformità di massa delle forme farmaceutiche a dose unica come da NBP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u w:val="singl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dell'etichetta</w:t>
      </w:r>
      <w:r>
        <w:rPr>
          <w:u w:val="single"/>
          <w:lang w:val="undefined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14:ligatures w14:val="none"/>
        </w:rPr>
      </w:pPr>
      <w:r>
        <w:rPr>
          <w:u w:val="single"/>
          <w:lang w:val="undefined" w:bidi="undefined"/>
        </w:rPr>
      </w:r>
      <w:r>
        <w:rPr>
          <w:u w:val="single"/>
          <w:lang w:val="undefined"/>
        </w:rPr>
        <w:t xml:space="preserve">Preparazioni semisolide p</w:t>
      </w:r>
      <w:r>
        <w:rPr>
          <w:u w:val="single"/>
        </w:rPr>
        <w:t xml:space="preserve">er applicazione cutanea e </w:t>
      </w:r>
      <w:r>
        <w:rPr>
          <w:u w:val="single"/>
        </w:rPr>
        <w:t xml:space="preserve">paste</w:t>
      </w:r>
      <w:r>
        <w:rPr>
          <w:u w:val="single"/>
          <w:lang w:val="undefined"/>
        </w:rPr>
        <w:t xml:space="preserve">, </w:t>
      </w:r>
      <w:r>
        <w:rPr>
          <w:u w:val="single"/>
          <w:lang w:val="undefined"/>
        </w:rPr>
        <w:t xml:space="preserve">Preparazioni semisolide orali vet (a peso)</w:t>
      </w:r>
      <w:r>
        <w:rPr>
          <w:u w:val="single"/>
          <w:lang w:val="undefined"/>
        </w:rPr>
        <w:t xml:space="preserve"> e </w:t>
      </w:r>
      <w:r>
        <w:rPr>
          <w:u w:val="single"/>
          <w:lang w:val="undefined"/>
        </w:rPr>
        <w:t xml:space="preserve">Preparazioni semisolide orali vet (a unità</w:t>
      </w:r>
      <w:r>
        <w:rPr>
          <w:u w:val="single"/>
          <w:lang w:val="undefined"/>
        </w:rPr>
        <w:t xml:space="preserve">)</w:t>
      </w:r>
      <w:r>
        <w:rPr>
          <w:u w:val="single"/>
          <w:lang w:val="undefined" w:bidi="undefined"/>
        </w:rPr>
      </w:r>
      <w:r>
        <w:rPr>
          <w:u w:val="single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verifica della correttezza delle procedure eseguite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controllo dell’aspetto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 pH, se richiesto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controllo della quantità da dispensare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controllo della tenuta del confezionamento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</w:r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undefined"/>
        </w:rPr>
        <w:t xml:space="preserve">verifica della corretta compilazione dell’etichett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</w:t>
      </w: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:lang w:val="it-IT"/>
          <w14:ligatures w14:val="none"/>
        </w:rPr>
      </w:pPr>
      <w:r>
        <w:rPr>
          <w:highlight w:val="none"/>
          <w:u w:val="single"/>
        </w:rPr>
      </w:r>
      <w:r>
        <w:rPr>
          <w:highlight w:val="none"/>
          <w:u w:val="single"/>
          <w:lang w:val="it-IT"/>
        </w:rPr>
        <w:t xml:space="preserve">Suppositori e ovuli</w:t>
      </w:r>
      <w:r>
        <w:rPr>
          <w:u w:val="single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84"/>
        </w:tabs>
        <w:spacing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84"/>
        </w:tabs>
        <w:spacing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dell’aspetto e delle caratteristiche organolettiche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84"/>
        </w:tabs>
        <w:spacing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consistenza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84"/>
        </w:tabs>
        <w:spacing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uniformità di massa</w:t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84"/>
        </w:tabs>
        <w:spacing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dell’etichetta</w:t>
      </w:r>
      <w:r>
        <w:rPr>
          <w:rFonts w:ascii="Times New Roman" w:hAnsi="Times New Roman" w:eastAsia="Times New Roman" w:cs="Times New Roman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:lang w:val="it-IT" w:bidi="it-IT"/>
          <w14:ligatures w14:val="none"/>
        </w:rPr>
      </w:pPr>
      <w:r>
        <w:rPr>
          <w:highlight w:val="none"/>
          <w:u w:val="single"/>
          <w:lang w:val="it-IT"/>
        </w:rPr>
        <w:t xml:space="preserve">Colliri (sterili) e </w:t>
      </w:r>
      <w:r>
        <w:rPr>
          <w:highlight w:val="none"/>
          <w:u w:val="single"/>
          <w:lang w:val="it-IT"/>
        </w:rPr>
        <w:t xml:space="preserve">Prep. oftalmiche sterili semisolide</w:t>
      </w: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dell’aspetto 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della quantità da dispensare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della tenuta del confezionamento</w:t>
      </w:r>
      <w:r/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426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dell’etichetta</w:t>
      </w:r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426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verifica della sterilità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:lang w:val="it-IT"/>
          <w14:ligatures w14:val="none"/>
        </w:rPr>
      </w:pP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/>
        </w:rPr>
        <w:t xml:space="preserve">Preparazioni liquide (soluzi</w:t>
      </w:r>
      <w:r>
        <w:rPr>
          <w:highlight w:val="none"/>
          <w:u w:val="single"/>
          <w:lang w:val="it-IT"/>
        </w:rPr>
        <w:t xml:space="preserve">oni)</w:t>
      </w:r>
      <w:r>
        <w:rPr>
          <w:highlight w:val="none"/>
          <w:u w:val="single"/>
          <w:lang w:val="it-IT" w:bidi="it-IT"/>
        </w:rPr>
        <w:t xml:space="preserve"> e </w:t>
      </w:r>
      <w:r>
        <w:rPr>
          <w:highlight w:val="none"/>
          <w:u w:val="single"/>
          <w:lang w:val="it-IT"/>
        </w:rPr>
        <w:t xml:space="preserve">Emulsioni, sospensioni e miscele di olii</w:t>
      </w:r>
      <w:r>
        <w:rPr>
          <w:highlight w:val="none"/>
          <w:u w:val="single"/>
          <w:lang w:val="it-IT" w:bidi="it-IT"/>
        </w:rPr>
        <w:t xml:space="preserve"> e </w:t>
      </w:r>
      <w:r>
        <w:rPr>
          <w:highlight w:val="none"/>
          <w:u w:val="single"/>
          <w:lang w:val="it-IT" w:bidi="it-IT"/>
        </w:rPr>
        <w:t xml:space="preserve">Estratti liquidi e tinture</w:t>
      </w: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dell’aspetto 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nel caso delle emulsioni verificare se presentano segni di separazione di fase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 questo caso che siano facilmente ricostituibili per agitazione</w:t>
      </w:r>
      <w:r/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nel caso delle sospensioni verificare se presentano un precipitato e in questo caso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che sia facilmente ridispersibile per agitazione</w:t>
      </w:r>
      <w:r/>
      <w:r>
        <w:rPr>
          <w:rFonts w:ascii="Times New Roman" w:hAnsi="Times New Roman" w:eastAsia="Times New Roman" w:cs="Times New Roman"/>
          <w:sz w:val="20"/>
        </w:rPr>
      </w:r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 pH, se richiesto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della quantità da dispensare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della tenuta del confezionamento</w:t>
      </w:r>
      <w:r/>
    </w:p>
    <w:p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dell’etichetta </w:t>
      </w:r>
      <w:r>
        <w:rPr>
          <w:rFonts w:ascii="Times New Roman" w:hAnsi="Times New Roman" w:eastAsia="Times New Roman" w:cs="Times New Roman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:lang w:val="it-IT"/>
          <w14:ligatures w14:val="none"/>
        </w:rPr>
      </w:pP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/>
        </w:rPr>
        <w:t xml:space="preserve">Compresse e gomme da masticare medicate</w:t>
      </w:r>
      <w:r>
        <w:rPr>
          <w:highlight w:val="none"/>
          <w:u w:val="single"/>
          <w:lang w:val="it-IT" w:bidi="it-IT"/>
        </w:rPr>
        <w:t xml:space="preserve">, </w:t>
      </w:r>
      <w:r>
        <w:rPr>
          <w:highlight w:val="none"/>
          <w:u w:val="single"/>
          <w:lang w:val="it-IT"/>
        </w:rPr>
        <w:t xml:space="preserve">Pillole, pastiglie e granulati (a unità)</w:t>
      </w:r>
      <w:r>
        <w:rPr>
          <w:highlight w:val="none"/>
          <w:u w:val="single"/>
          <w:lang w:val="it-IT" w:bidi="it-IT"/>
        </w:rPr>
        <w:t xml:space="preserve"> e </w:t>
      </w:r>
      <w:r>
        <w:rPr>
          <w:highlight w:val="none"/>
          <w:u w:val="single"/>
          <w:lang w:val="it-IT"/>
        </w:rPr>
        <w:t xml:space="preserve">Pillole, pastiglie e granulati (a peso)</w:t>
      </w: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/>
        </w:rPr>
      </w:r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correttezza delle procedure eseguite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dell’aspetto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 numero di compresse allestite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uniformità di massa delle forme farmaceutiche a dose unica come da NBP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durezza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controllo del confezionamento e in particolare della sua tenuta</w:t>
      </w:r>
      <w:r/>
    </w:p>
    <w:p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1771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 della corretta compilazione dell’etichetta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26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 w:right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360"/>
          <w:tab w:val="left" w:leader="none" w:pos="426"/>
          <w:tab w:val="left" w:leader="none" w:pos="2622"/>
          <w:tab w:val="left" w:leader="none" w:pos="3898"/>
          <w:tab w:val="left" w:leader="none" w:pos="4888"/>
          <w:tab w:val="left" w:leader="none" w:pos="6449"/>
          <w:tab w:val="left" w:leader="none" w:pos="7655"/>
          <w:tab w:val="left" w:leader="none" w:pos="8859"/>
          <w:tab w:val="left" w:leader="none" w:pos="10418"/>
        </w:tabs>
        <w:spacing/>
        <w:ind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:u w:val="single"/>
          <w:lang w:val="it-IT"/>
          <w14:ligatures w14:val="none"/>
        </w:rPr>
      </w:pP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 w:bidi="it-IT"/>
        </w:rPr>
      </w:r>
      <w:r>
        <w:rPr>
          <w:highlight w:val="none"/>
          <w:u w:val="single"/>
          <w:lang w:val="it-IT" w:bidi="it-IT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u w:val="single"/>
          <w14:ligatures w14:val="none"/>
        </w:rPr>
      </w:pPr>
      <w:r>
        <w:rPr>
          <w:highlight w:val="none"/>
          <w:u w:val="single"/>
          <w:lang w:val="it-IT"/>
        </w:rPr>
      </w:r>
      <w:r>
        <w:rPr>
          <w:highlight w:val="none"/>
          <w:u w:val="single"/>
          <w:lang w:val="it-IT"/>
        </w:rPr>
      </w:r>
      <w:r>
        <w:rPr>
          <w:highlight w:val="none"/>
          <w:u w:val="single"/>
          <w:lang w:val="it-IT"/>
        </w:rPr>
      </w:r>
    </w:p>
    <w:p>
      <w:pPr>
        <w:pBdr/>
        <w:spacing/>
        <w:ind/>
        <w:rPr>
          <w:highlight w:val="none"/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p>
      <w:pPr>
        <w:pBdr/>
        <w:spacing/>
        <w:ind/>
        <w:rPr>
          <w:u w:val="single"/>
        </w:rPr>
      </w:pPr>
      <w:r>
        <w:rPr>
          <w:highlight w:val="none"/>
          <w:u w:val="single"/>
        </w:rPr>
      </w:r>
      <w:r>
        <w:rPr>
          <w:highlight w:val="none"/>
          <w:u w:val="single"/>
        </w:rPr>
      </w:r>
      <w:r>
        <w:rPr>
          <w:highlight w:val="none"/>
          <w:u w:val="singl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3C2A1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EDCAF57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61723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FDDB8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3466BB5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6A98E74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A98E74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FFA845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9C18941"/>
    <w:lvl w:ilvl="0">
      <w:isLgl w:val="false"/>
      <w:lvlJc w:val="left"/>
      <w:lvlText w:val=""/>
      <w:numFmt w:val="bullet"/>
      <w:pPr>
        <w:pBdr/>
        <w:spacing/>
        <w:ind w:hanging="360" w:left="360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D59561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BAB343E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BD42E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4938E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20DC0D9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60599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FDDB8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2026-01-27T09:56:36Z</dcterms:modified>
</cp:coreProperties>
</file>