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0" w:after="60"/>
      </w:pPr>
      <w:r>
        <w:rPr>
          <w:b/>
          <w:color w:val="FC5B00"/>
          <w:sz w:val="18"/>
        </w:rPr>
        <w:t>APOPO HERORATS · STARTER'S HACKATHON 2026</w:t>
      </w:r>
    </w:p>
    <w:p>
      <w:pPr>
        <w:pStyle w:val="Title"/>
        <w:spacing w:after="120"/>
      </w:pPr>
      <w:r>
        <w:rPr/>
        <w:t>Group Data Guide</w:t>
      </w:r>
    </w:p>
    <w:p>
      <w:pPr>
        <w:spacing w:after="240"/>
      </w:pPr>
      <w:r>
        <w:rPr>
          <w:color w:val="301D56"/>
          <w:sz w:val="24"/>
        </w:rPr>
        <w:t>How to read and use the 2023–2024 AutomatedCage data</w:t>
      </w:r>
    </w:p>
    <w:p>
      <w:pPr>
        <w:pStyle w:val="NoSpacing"/>
        <w:tabs>
          <w:tab w:val="left" w:pos="2268"/>
        </w:tabs>
      </w:pPr>
      <w:r>
        <w:rPr>
          <w:b/>
        </w:rPr>
        <w:t>Audience:</w:t>
      </w:r>
      <w:r>
        <w:tab/>
      </w:r>
      <w:r>
        <w:rPr/>
        <w:t>Hackathon groups</w:t>
      </w:r>
    </w:p>
    <w:p>
      <w:pPr>
        <w:pStyle w:val="NoSpacing"/>
        <w:tabs>
          <w:tab w:val="left" w:pos="2268"/>
        </w:tabs>
      </w:pPr>
      <w:r>
        <w:rPr>
          <w:b/>
        </w:rPr>
        <w:t>Data source:</w:t>
      </w:r>
      <w:r>
        <w:tab/>
      </w:r>
      <w:r>
        <w:rPr/>
        <w:t>AutomatedCage_Sept2023-24_raw data_with PatientID.xlsb</w:t>
      </w:r>
    </w:p>
    <w:p>
      <w:pPr>
        <w:pStyle w:val="NoSpacing"/>
        <w:tabs>
          <w:tab w:val="left" w:pos="2268"/>
        </w:tabs>
      </w:pPr>
      <w:r>
        <w:rPr>
          <w:b/>
        </w:rPr>
        <w:t>Date:</w:t>
      </w:r>
      <w:r>
        <w:tab/>
      </w:r>
      <w:r>
        <w:rPr/>
        <w:t>October 2026</w:t>
      </w:r>
    </w:p>
    <w:p>
      <w:pPr>
        <w:pStyle w:val="NoSpacing"/>
        <w:tabs>
          <w:tab w:val="left" w:pos="2268"/>
        </w:tabs>
      </w:pPr>
      <w:r>
        <w:rPr>
          <w:b/>
        </w:rPr>
        <w:t>Contact:</w:t>
      </w:r>
      <w:r>
        <w:tab/>
      </w:r>
      <w:r>
        <w:rPr/>
        <w:t>Questions about the data: ask Pieter or Julie (APOPO)</w:t>
      </w:r>
    </w:p>
    <w:p/>
    <w:p>
      <w:pPr>
        <w:pStyle w:val="Heading1"/>
        <w:spacing w:before="360" w:after="120"/>
      </w:pPr>
      <w:r>
        <w:rPr/>
        <w:t>What you have been given</w:t>
      </w:r>
    </w:p>
    <w:p>
      <w:pPr>
        <w:keepNext/>
        <w:spacing w:after="120" w:line="264" w:lineRule="auto"/>
        <w:jc w:val="both"/>
      </w:pPr>
      <w:r>
        <w:rPr/>
        <w:t xml:space="preserve">Your source is the binary Excel workbook </w:t>
      </w:r>
      <w:r>
        <w:rPr>
          <w:b/>
        </w:rPr>
        <w:t>AutomatedCage_Sept2023-24_raw data_with PatientID.xlsb</w:t>
      </w:r>
      <w:r>
        <w:rPr/>
        <w:t>. It contains recorded rat evaluations and the diagnostic information attached to each sample.</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5415"/>
        <w:gridCol w:w="3610"/>
      </w:tblGrid>
      <w:tr>
        <w:trPr>
          <w:tblHeader/>
          <w:cantSplit/>
        </w:trPr>
        <w:tc>
          <w:tcPr>
            <w:tcW w:type="dxa" w:w="5415"/>
            <w:shd w:val="clear" w:color="auto" w:fill="FC5B00"/>
          </w:tcPr>
          <w:p>
            <w:pPr>
              <w:keepNext/>
              <w:spacing w:before="0" w:after="0" w:line="240" w:lineRule="auto"/>
              <w:jc w:val="left"/>
            </w:pPr>
            <w:r>
              <w:rPr>
                <w:b/>
                <w:color w:val="FFFFFF"/>
                <w:sz w:val="18"/>
              </w:rPr>
              <w:t>Property</w:t>
            </w:r>
          </w:p>
        </w:tc>
        <w:tc>
          <w:tcPr>
            <w:tcW w:type="dxa" w:w="3610"/>
            <w:shd w:val="clear" w:color="auto" w:fill="FC5B00"/>
          </w:tcPr>
          <w:p>
            <w:pPr>
              <w:keepNext/>
              <w:spacing w:before="0" w:after="0" w:line="240" w:lineRule="auto"/>
              <w:jc w:val="right"/>
            </w:pPr>
            <w:r>
              <w:rPr>
                <w:b/>
                <w:color w:val="FFFFFF"/>
                <w:sz w:val="18"/>
              </w:rPr>
              <w:t>Value</w:t>
            </w:r>
          </w:p>
        </w:tc>
      </w:tr>
      <w:tr>
        <w:trPr>
          <w:cantSplit/>
        </w:trPr>
        <w:tc>
          <w:tcPr>
            <w:tcW w:type="dxa" w:w="5415"/>
          </w:tcPr>
          <w:p>
            <w:pPr>
              <w:keepNext/>
              <w:spacing w:before="0" w:after="0" w:line="240" w:lineRule="auto"/>
              <w:jc w:val="left"/>
            </w:pPr>
            <w:r>
              <w:rPr>
                <w:sz w:val="18"/>
              </w:rPr>
              <w:t>Evaluation dates</w:t>
            </w:r>
          </w:p>
        </w:tc>
        <w:tc>
          <w:tcPr>
            <w:tcW w:type="dxa" w:w="3610"/>
          </w:tcPr>
          <w:p>
            <w:pPr>
              <w:keepNext/>
              <w:spacing w:before="0" w:after="0" w:line="240" w:lineRule="auto"/>
              <w:jc w:val="right"/>
            </w:pPr>
            <w:r>
              <w:rPr>
                <w:sz w:val="18"/>
              </w:rPr>
              <w:t>1 September 2023 – 30 September 2024</w:t>
            </w:r>
          </w:p>
        </w:tc>
      </w:tr>
      <w:tr>
        <w:trPr>
          <w:cantSplit/>
        </w:trPr>
        <w:tc>
          <w:tcPr>
            <w:tcW w:type="dxa" w:w="5415"/>
            <w:shd w:val="clear" w:color="auto" w:fill="FFF4EE"/>
          </w:tcPr>
          <w:p>
            <w:pPr>
              <w:keepNext/>
              <w:spacing w:before="0" w:after="0" w:line="240" w:lineRule="auto"/>
              <w:jc w:val="left"/>
            </w:pPr>
            <w:r>
              <w:rPr>
                <w:sz w:val="18"/>
              </w:rPr>
              <w:t>Observation rows</w:t>
            </w:r>
          </w:p>
        </w:tc>
        <w:tc>
          <w:tcPr>
            <w:tcW w:type="dxa" w:w="3610"/>
            <w:shd w:val="clear" w:color="auto" w:fill="FFF4EE"/>
          </w:tcPr>
          <w:p>
            <w:pPr>
              <w:keepNext/>
              <w:spacing w:before="0" w:after="0" w:line="240" w:lineRule="auto"/>
              <w:jc w:val="right"/>
            </w:pPr>
            <w:r>
              <w:rPr>
                <w:sz w:val="18"/>
              </w:rPr>
              <w:t>204,740</w:t>
            </w:r>
          </w:p>
        </w:tc>
      </w:tr>
      <w:tr>
        <w:trPr>
          <w:cantSplit/>
        </w:trPr>
        <w:tc>
          <w:tcPr>
            <w:tcW w:type="dxa" w:w="5415"/>
          </w:tcPr>
          <w:p>
            <w:pPr>
              <w:keepNext/>
              <w:spacing w:before="0" w:after="0" w:line="240" w:lineRule="auto"/>
              <w:jc w:val="left"/>
            </w:pPr>
            <w:r>
              <w:rPr>
                <w:sz w:val="18"/>
              </w:rPr>
              <w:t>Original columns</w:t>
            </w:r>
          </w:p>
        </w:tc>
        <w:tc>
          <w:tcPr>
            <w:tcW w:type="dxa" w:w="3610"/>
          </w:tcPr>
          <w:p>
            <w:pPr>
              <w:keepNext/>
              <w:spacing w:before="0" w:after="0" w:line="240" w:lineRule="auto"/>
              <w:jc w:val="right"/>
            </w:pPr>
            <w:r>
              <w:rPr>
                <w:sz w:val="18"/>
              </w:rPr>
              <w:t>34</w:t>
            </w:r>
          </w:p>
        </w:tc>
      </w:tr>
      <w:tr>
        <w:trPr>
          <w:cantSplit/>
        </w:trPr>
        <w:tc>
          <w:tcPr>
            <w:tcW w:type="dxa" w:w="5415"/>
            <w:shd w:val="clear" w:color="auto" w:fill="FFF4EE"/>
          </w:tcPr>
          <w:p>
            <w:pPr>
              <w:keepNext/>
              <w:spacing w:before="0" w:after="0" w:line="240" w:lineRule="auto"/>
              <w:jc w:val="left"/>
            </w:pPr>
            <w:r>
              <w:rPr>
                <w:sz w:val="18"/>
              </w:rPr>
              <w:t>Distinct rat names</w:t>
            </w:r>
          </w:p>
        </w:tc>
        <w:tc>
          <w:tcPr>
            <w:tcW w:type="dxa" w:w="3610"/>
            <w:shd w:val="clear" w:color="auto" w:fill="FFF4EE"/>
          </w:tcPr>
          <w:p>
            <w:pPr>
              <w:keepNext/>
              <w:spacing w:before="0" w:after="0" w:line="240" w:lineRule="auto"/>
              <w:jc w:val="right"/>
            </w:pPr>
            <w:r>
              <w:rPr>
                <w:sz w:val="18"/>
              </w:rPr>
              <w:t>15</w:t>
            </w:r>
          </w:p>
        </w:tc>
      </w:tr>
      <w:tr>
        <w:trPr>
          <w:cantSplit/>
        </w:trPr>
        <w:tc>
          <w:tcPr>
            <w:tcW w:type="dxa" w:w="5415"/>
          </w:tcPr>
          <w:p>
            <w:pPr>
              <w:keepNext/>
              <w:spacing w:before="0" w:after="0" w:line="240" w:lineRule="auto"/>
              <w:jc w:val="left"/>
            </w:pPr>
            <w:r>
              <w:rPr>
                <w:sz w:val="18"/>
              </w:rPr>
              <w:t>Distinct sample IDs</w:t>
            </w:r>
          </w:p>
        </w:tc>
        <w:tc>
          <w:tcPr>
            <w:tcW w:type="dxa" w:w="3610"/>
          </w:tcPr>
          <w:p>
            <w:pPr>
              <w:keepNext/>
              <w:spacing w:before="0" w:after="0" w:line="240" w:lineRule="auto"/>
              <w:jc w:val="right"/>
            </w:pPr>
            <w:r>
              <w:rPr>
                <w:sz w:val="18"/>
              </w:rPr>
              <w:t>12,809</w:t>
            </w:r>
          </w:p>
        </w:tc>
      </w:tr>
      <w:tr>
        <w:trPr>
          <w:cantSplit/>
        </w:trPr>
        <w:tc>
          <w:tcPr>
            <w:tcW w:type="dxa" w:w="5415"/>
            <w:shd w:val="clear" w:color="auto" w:fill="FFF4EE"/>
          </w:tcPr>
          <w:p>
            <w:pPr>
              <w:keepNext/>
              <w:spacing w:before="0" w:after="0" w:line="240" w:lineRule="auto"/>
              <w:jc w:val="left"/>
            </w:pPr>
            <w:r>
              <w:rPr>
                <w:sz w:val="18"/>
              </w:rPr>
              <w:t>Distinct patient IDs</w:t>
            </w:r>
          </w:p>
        </w:tc>
        <w:tc>
          <w:tcPr>
            <w:tcW w:type="dxa" w:w="3610"/>
            <w:shd w:val="clear" w:color="auto" w:fill="FFF4EE"/>
          </w:tcPr>
          <w:p>
            <w:pPr>
              <w:keepNext/>
              <w:spacing w:before="0" w:after="0" w:line="240" w:lineRule="auto"/>
              <w:jc w:val="right"/>
            </w:pPr>
            <w:r>
              <w:rPr>
                <w:sz w:val="18"/>
              </w:rPr>
              <w:t>11,346</w:t>
            </w:r>
          </w:p>
        </w:tc>
      </w:tr>
      <w:tr>
        <w:trPr>
          <w:cantSplit/>
        </w:trPr>
        <w:tc>
          <w:tcPr>
            <w:tcW w:type="dxa" w:w="5415"/>
          </w:tcPr>
          <w:p>
            <w:pPr>
              <w:spacing w:before="0" w:after="0" w:line="240" w:lineRule="auto"/>
              <w:jc w:val="left"/>
            </w:pPr>
            <w:r>
              <w:rPr>
                <w:sz w:val="18"/>
              </w:rPr>
              <w:t>Distinct evaluation-session IDs</w:t>
            </w:r>
          </w:p>
        </w:tc>
        <w:tc>
          <w:tcPr>
            <w:tcW w:type="dxa" w:w="3610"/>
          </w:tcPr>
          <w:p>
            <w:pPr>
              <w:spacing w:before="0" w:after="0" w:line="240" w:lineRule="auto"/>
              <w:jc w:val="right"/>
            </w:pPr>
            <w:r>
              <w:rPr>
                <w:sz w:val="18"/>
              </w:rPr>
              <w:t>645</w:t>
            </w:r>
          </w:p>
        </w:tc>
      </w:tr>
    </w:tbl>
    <w:p>
      <w:pPr>
        <w:spacing w:after="60"/>
      </w:pPr>
    </w:p>
    <w:p>
      <w:pPr>
        <w:pBdr>
          <w:left w:val="single" w:sz="24" w:space="8" w:color="FC5B00"/>
        </w:pBdr>
        <w:shd w:val="clear" w:color="auto" w:fill="FFE9DC"/>
        <w:ind w:left="227" w:right="113"/>
        <w:spacing w:before="60" w:after="200" w:line="264" w:lineRule="auto"/>
      </w:pPr>
      <w:r>
        <w:rPr>
          <w:b/>
          <w:color w:val="FC5B00"/>
        </w:rPr>
        <w:t xml:space="preserve">Key point  </w:t>
      </w:r>
      <w:r>
        <w:rPr/>
        <w:t>One row is a recorded rat-sample evaluation – not one patient, and not necessarily one unique sample. A patient can provide several samples, and a sample can be evaluated by several rats and reused across sessions. Repeated sample IDs are expected: do not delete them automatically as duplicates.</w:t>
      </w:r>
    </w:p>
    <w:p>
      <w:pPr>
        <w:spacing w:after="120" w:line="264" w:lineRule="auto"/>
        <w:jc w:val="both"/>
      </w:pPr>
      <w:r>
        <w:rPr/>
        <w:t>The data include known-positive, blind-positive, reused and surrogate samples. They are not a random sample of patients, so a row-level positive percentage is not the patient prevalence.</w:t>
      </w:r>
    </w:p>
    <w:p>
      <w:pPr>
        <w:pStyle w:val="Heading1"/>
        <w:spacing w:before="360" w:after="120"/>
      </w:pPr>
      <w:r>
        <w:rPr/>
        <w:t>The main distinction</w:t>
      </w:r>
    </w:p>
    <w:p>
      <w:pPr>
        <w:keepNext/>
        <w:spacing w:after="120" w:line="264" w:lineRule="auto"/>
        <w:jc w:val="both"/>
      </w:pPr>
      <w:r>
        <w:rPr/>
        <w:t>Keep these three questions separate:</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2707"/>
        <w:gridCol w:w="2707"/>
        <w:gridCol w:w="3610"/>
      </w:tblGrid>
      <w:tr>
        <w:trPr>
          <w:tblHeader/>
          <w:cantSplit/>
        </w:trPr>
        <w:tc>
          <w:tcPr>
            <w:tcW w:type="dxa" w:w="2707"/>
            <w:shd w:val="clear" w:color="auto" w:fill="FC5B00"/>
          </w:tcPr>
          <w:p>
            <w:pPr>
              <w:keepNext/>
              <w:spacing w:before="0" w:after="0" w:line="240" w:lineRule="auto"/>
              <w:jc w:val="left"/>
            </w:pPr>
            <w:r>
              <w:rPr>
                <w:b/>
                <w:color w:val="FFFFFF"/>
                <w:sz w:val="18"/>
              </w:rPr>
              <w:t>Question</w:t>
            </w:r>
          </w:p>
        </w:tc>
        <w:tc>
          <w:tcPr>
            <w:tcW w:type="dxa" w:w="2707"/>
            <w:shd w:val="clear" w:color="auto" w:fill="FC5B00"/>
          </w:tcPr>
          <w:p>
            <w:pPr>
              <w:keepNext/>
              <w:spacing w:before="0" w:after="0" w:line="240" w:lineRule="auto"/>
              <w:jc w:val="left"/>
            </w:pPr>
            <w:r>
              <w:rPr>
                <w:b/>
                <w:color w:val="FFFFFF"/>
                <w:sz w:val="18"/>
              </w:rPr>
              <w:t>Where to look</w:t>
            </w:r>
          </w:p>
        </w:tc>
        <w:tc>
          <w:tcPr>
            <w:tcW w:type="dxa" w:w="3610"/>
            <w:shd w:val="clear" w:color="auto" w:fill="FC5B00"/>
          </w:tcPr>
          <w:p>
            <w:pPr>
              <w:keepNext/>
              <w:spacing w:before="0" w:after="0" w:line="240" w:lineRule="auto"/>
              <w:jc w:val="left"/>
            </w:pPr>
            <w:r>
              <w:rPr>
                <w:b/>
                <w:color w:val="FFFFFF"/>
                <w:sz w:val="18"/>
              </w:rPr>
              <w:t>Interpretation</w:t>
            </w:r>
          </w:p>
        </w:tc>
      </w:tr>
      <w:tr>
        <w:trPr>
          <w:cantSplit/>
        </w:trPr>
        <w:tc>
          <w:tcPr>
            <w:tcW w:type="dxa" w:w="2707"/>
          </w:tcPr>
          <w:p>
            <w:pPr>
              <w:keepNext/>
              <w:spacing w:before="0" w:after="0" w:line="240" w:lineRule="auto"/>
              <w:jc w:val="left"/>
            </w:pPr>
            <w:r>
              <w:rPr>
                <w:b/>
                <w:sz w:val="18"/>
              </w:rPr>
              <w:t>What did the rat do?</w:t>
            </w:r>
          </w:p>
        </w:tc>
        <w:tc>
          <w:tcPr>
            <w:tcW w:type="dxa" w:w="2707"/>
          </w:tcPr>
          <w:p>
            <w:pPr>
              <w:keepNext/>
              <w:spacing w:before="0" w:after="0" w:line="240" w:lineRule="auto"/>
              <w:jc w:val="left"/>
            </w:pPr>
            <w:r>
              <w:rPr>
                <w:rFonts w:ascii="Consolas" w:hAnsi="Consolas" w:cs="Consolas"/>
                <w:sz w:val="18"/>
              </w:rPr>
              <w:t>HIT</w:t>
            </w:r>
            <w:r>
              <w:rPr>
                <w:sz w:val="18"/>
              </w:rPr>
              <w:t xml:space="preserve">, </w:t>
            </w:r>
            <w:r>
              <w:rPr>
                <w:rFonts w:ascii="Consolas" w:hAnsi="Consolas" w:cs="Consolas"/>
                <w:sz w:val="18"/>
              </w:rPr>
              <w:t>SniffTime</w:t>
            </w:r>
          </w:p>
        </w:tc>
        <w:tc>
          <w:tcPr>
            <w:tcW w:type="dxa" w:w="3610"/>
          </w:tcPr>
          <w:p>
            <w:pPr>
              <w:keepNext/>
              <w:spacing w:before="0" w:after="0" w:line="240" w:lineRule="auto"/>
              <w:jc w:val="left"/>
            </w:pPr>
            <w:r>
              <w:rPr>
                <w:sz w:val="18"/>
              </w:rPr>
              <w:t>A recorded indication and sniff duration.</w:t>
            </w:r>
          </w:p>
        </w:tc>
      </w:tr>
      <w:tr>
        <w:trPr>
          <w:cantSplit/>
        </w:trPr>
        <w:tc>
          <w:tcPr>
            <w:tcW w:type="dxa" w:w="2707"/>
            <w:shd w:val="clear" w:color="auto" w:fill="FFF4EE"/>
          </w:tcPr>
          <w:p>
            <w:pPr>
              <w:keepNext/>
              <w:spacing w:before="0" w:after="0" w:line="240" w:lineRule="auto"/>
              <w:jc w:val="left"/>
            </w:pPr>
            <w:r>
              <w:rPr>
                <w:b/>
                <w:sz w:val="18"/>
              </w:rPr>
              <w:t>What did a laboratory report?</w:t>
            </w:r>
          </w:p>
        </w:tc>
        <w:tc>
          <w:tcPr>
            <w:tcW w:type="dxa" w:w="2707"/>
            <w:shd w:val="clear" w:color="auto" w:fill="FFF4EE"/>
          </w:tcPr>
          <w:p>
            <w:pPr>
              <w:keepNext/>
              <w:spacing w:before="0" w:after="0" w:line="240" w:lineRule="auto"/>
              <w:jc w:val="left"/>
            </w:pPr>
            <w:r>
              <w:rPr>
                <w:sz w:val="18"/>
              </w:rPr>
              <w:t>The four diagnostic-result columns</w:t>
            </w:r>
          </w:p>
        </w:tc>
        <w:tc>
          <w:tcPr>
            <w:tcW w:type="dxa" w:w="3610"/>
            <w:shd w:val="clear" w:color="auto" w:fill="FFF4EE"/>
          </w:tcPr>
          <w:p>
            <w:pPr>
              <w:keepNext/>
              <w:spacing w:before="0" w:after="0" w:line="240" w:lineRule="auto"/>
              <w:jc w:val="left"/>
            </w:pPr>
            <w:r>
              <w:rPr>
                <w:sz w:val="18"/>
              </w:rPr>
              <w:t>Results from specific diagnostic methods; methods may disagree.</w:t>
            </w:r>
          </w:p>
        </w:tc>
      </w:tr>
      <w:tr>
        <w:trPr>
          <w:cantSplit/>
        </w:trPr>
        <w:tc>
          <w:tcPr>
            <w:tcW w:type="dxa" w:w="2707"/>
          </w:tcPr>
          <w:p>
            <w:pPr>
              <w:spacing w:before="0" w:after="0" w:line="240" w:lineRule="auto"/>
              <w:jc w:val="left"/>
            </w:pPr>
            <w:r>
              <w:rPr>
                <w:b/>
                <w:sz w:val="18"/>
              </w:rPr>
              <w:t>What was known or rewarded during presentation?</w:t>
            </w:r>
          </w:p>
        </w:tc>
        <w:tc>
          <w:tcPr>
            <w:tcW w:type="dxa" w:w="2707"/>
          </w:tcPr>
          <w:p>
            <w:pPr>
              <w:spacing w:before="0" w:after="0" w:line="240" w:lineRule="auto"/>
              <w:jc w:val="left"/>
            </w:pPr>
            <w:r>
              <w:rPr>
                <w:rFonts w:ascii="Consolas" w:hAnsi="Consolas" w:cs="Consolas"/>
                <w:sz w:val="18"/>
              </w:rPr>
              <w:t>STATUS_KNOWNPOS</w:t>
            </w:r>
            <w:r>
              <w:rPr>
                <w:sz w:val="18"/>
              </w:rPr>
              <w:t xml:space="preserve">, </w:t>
            </w:r>
            <w:r>
              <w:rPr>
                <w:rFonts w:ascii="Consolas" w:hAnsi="Consolas" w:cs="Consolas"/>
                <w:sz w:val="18"/>
              </w:rPr>
              <w:t>STATUS_BLINDPOS</w:t>
            </w:r>
            <w:r>
              <w:rPr>
                <w:sz w:val="18"/>
              </w:rPr>
              <w:t xml:space="preserve">, </w:t>
            </w:r>
            <w:r>
              <w:rPr>
                <w:rFonts w:ascii="Consolas" w:hAnsi="Consolas" w:cs="Consolas"/>
                <w:sz w:val="18"/>
              </w:rPr>
              <w:t>REWARD</w:t>
            </w:r>
          </w:p>
        </w:tc>
        <w:tc>
          <w:tcPr>
            <w:tcW w:type="dxa" w:w="3610"/>
          </w:tcPr>
          <w:p>
            <w:pPr>
              <w:spacing w:before="0" w:after="0" w:line="240" w:lineRule="auto"/>
              <w:jc w:val="left"/>
            </w:pPr>
            <w:r>
              <w:rPr>
                <w:sz w:val="18"/>
              </w:rPr>
              <w:t>Presentation and reinforcement context, not a final diagnosis.</w:t>
            </w:r>
          </w:p>
        </w:tc>
      </w:tr>
    </w:tbl>
    <w:p>
      <w:pPr>
        <w:spacing w:after="60"/>
      </w:pPr>
    </w:p>
    <w:p>
      <w:pPr>
        <w:pBdr>
          <w:left w:val="single" w:sz="24" w:space="8" w:color="FC5B00"/>
        </w:pBdr>
        <w:shd w:val="clear" w:color="auto" w:fill="FFE9DC"/>
        <w:ind w:left="227" w:right="113"/>
        <w:spacing w:before="60" w:after="200" w:line="264" w:lineRule="auto"/>
      </w:pPr>
      <w:r>
        <w:rPr>
          <w:b/>
          <w:color w:val="FC5B00"/>
        </w:rPr>
        <w:t xml:space="preserve">HIT ≠ TB  </w:t>
      </w:r>
      <w:r>
        <w:rPr>
          <w:rFonts w:ascii="Consolas" w:hAnsi="Consolas" w:cs="Consolas"/>
          <w:sz w:val="18"/>
        </w:rPr>
        <w:t>HIT = True</w:t>
      </w:r>
      <w:r>
        <w:rPr/>
        <w:t xml:space="preserve"> means the rat indicated that the sample might contain TB. It is a screening signal, not a confirmed positive diagnosis. The indication can be correct or a false alarm. </w:t>
      </w:r>
      <w:r>
        <w:rPr>
          <w:rFonts w:ascii="Consolas" w:hAnsi="Consolas" w:cs="Consolas"/>
          <w:sz w:val="18"/>
        </w:rPr>
        <w:t>HIT = False</w:t>
      </w:r>
      <w:r>
        <w:rPr/>
        <w:t xml:space="preserve"> means no indication was recorded – the rat can miss a positive sample.</w:t>
      </w:r>
    </w:p>
    <w:p>
      <w:pPr>
        <w:spacing w:after="120" w:line="264" w:lineRule="auto"/>
        <w:jc w:val="both"/>
      </w:pPr>
      <w:r>
        <w:rPr/>
        <w:t>APOPO's simplified service pathway: clinic testing → rat screening of clinic-negative samples → further laboratory testing of rat-indicated samples. A positive confirmation can identify a case the clinic missed. The rat does not replace diagnostic confirmation.</w:t>
      </w:r>
    </w:p>
    <w:p>
      <w:pPr>
        <w:pStyle w:val="Heading1"/>
        <w:spacing w:before="360" w:after="120"/>
      </w:pPr>
      <w:r>
        <w:rPr/>
        <w:t>Read a real observation</w:t>
      </w:r>
    </w:p>
    <w:p>
      <w:pPr>
        <w:keepNext/>
        <w:spacing w:after="120" w:line="264" w:lineRule="auto"/>
        <w:jc w:val="both"/>
      </w:pPr>
      <w:r>
        <w:rPr/>
        <w:t>These values come from one actual observation of the rat Bertha in the original workbook:</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2947"/>
        <w:gridCol w:w="2394"/>
        <w:gridCol w:w="3684"/>
      </w:tblGrid>
      <w:tr>
        <w:trPr>
          <w:tblHeader/>
          <w:cantSplit/>
        </w:trPr>
        <w:tc>
          <w:tcPr>
            <w:tcW w:type="dxa" w:w="2947"/>
            <w:shd w:val="clear" w:color="auto" w:fill="FC5B00"/>
          </w:tcPr>
          <w:p>
            <w:pPr>
              <w:keepNext/>
              <w:spacing w:before="0" w:after="0" w:line="240" w:lineRule="auto"/>
              <w:jc w:val="left"/>
            </w:pPr>
            <w:r>
              <w:rPr>
                <w:b/>
                <w:color w:val="FFFFFF"/>
                <w:sz w:val="18"/>
              </w:rPr>
              <w:t>Field</w:t>
            </w:r>
          </w:p>
        </w:tc>
        <w:tc>
          <w:tcPr>
            <w:tcW w:type="dxa" w:w="2394"/>
            <w:shd w:val="clear" w:color="auto" w:fill="FC5B00"/>
          </w:tcPr>
          <w:p>
            <w:pPr>
              <w:keepNext/>
              <w:spacing w:before="0" w:after="0" w:line="240" w:lineRule="auto"/>
              <w:jc w:val="left"/>
            </w:pPr>
            <w:r>
              <w:rPr>
                <w:b/>
                <w:color w:val="FFFFFF"/>
                <w:sz w:val="18"/>
              </w:rPr>
              <w:t>Value</w:t>
            </w:r>
          </w:p>
        </w:tc>
        <w:tc>
          <w:tcPr>
            <w:tcW w:type="dxa" w:w="3684"/>
            <w:shd w:val="clear" w:color="auto" w:fill="FC5B00"/>
          </w:tcPr>
          <w:p>
            <w:pPr>
              <w:keepNext/>
              <w:spacing w:before="0" w:after="0" w:line="240" w:lineRule="auto"/>
              <w:jc w:val="left"/>
            </w:pPr>
            <w:r>
              <w:rPr>
                <w:b/>
                <w:color w:val="FFFFFF"/>
                <w:sz w:val="18"/>
              </w:rPr>
              <w:t>What it tells you</w:t>
            </w:r>
          </w:p>
        </w:tc>
      </w:tr>
      <w:tr>
        <w:trPr>
          <w:cantSplit/>
        </w:trPr>
        <w:tc>
          <w:tcPr>
            <w:tcW w:type="dxa" w:w="2947"/>
          </w:tcPr>
          <w:p>
            <w:pPr>
              <w:keepNext/>
              <w:spacing w:before="0" w:after="0" w:line="240" w:lineRule="auto"/>
              <w:jc w:val="left"/>
            </w:pPr>
            <w:r>
              <w:rPr>
                <w:rFonts w:ascii="Consolas" w:hAnsi="Consolas" w:cs="Consolas"/>
                <w:sz w:val="18"/>
              </w:rPr>
              <w:t>RAT_NAME</w:t>
            </w:r>
          </w:p>
        </w:tc>
        <w:tc>
          <w:tcPr>
            <w:tcW w:type="dxa" w:w="2394"/>
          </w:tcPr>
          <w:p>
            <w:pPr>
              <w:keepNext/>
              <w:spacing w:before="0" w:after="0" w:line="240" w:lineRule="auto"/>
              <w:jc w:val="left"/>
            </w:pPr>
            <w:r>
              <w:rPr>
                <w:sz w:val="18"/>
              </w:rPr>
              <w:t>Bertha</w:t>
            </w:r>
          </w:p>
        </w:tc>
        <w:tc>
          <w:tcPr>
            <w:tcW w:type="dxa" w:w="3684"/>
          </w:tcPr>
          <w:p>
            <w:pPr>
              <w:keepNext/>
              <w:spacing w:before="0" w:after="0" w:line="240" w:lineRule="auto"/>
              <w:jc w:val="left"/>
            </w:pPr>
            <w:r>
              <w:rPr>
                <w:sz w:val="18"/>
              </w:rPr>
              <w:t>Whose response is recorded.</w:t>
            </w:r>
          </w:p>
        </w:tc>
      </w:tr>
      <w:tr>
        <w:trPr>
          <w:cantSplit/>
        </w:trPr>
        <w:tc>
          <w:tcPr>
            <w:tcW w:type="dxa" w:w="2947"/>
            <w:shd w:val="clear" w:color="auto" w:fill="FFF4EE"/>
          </w:tcPr>
          <w:p>
            <w:pPr>
              <w:keepNext/>
              <w:spacing w:before="0" w:after="0" w:line="240" w:lineRule="auto"/>
              <w:jc w:val="left"/>
            </w:pPr>
            <w:r>
              <w:rPr>
                <w:rFonts w:ascii="Consolas" w:hAnsi="Consolas" w:cs="Consolas"/>
                <w:sz w:val="18"/>
              </w:rPr>
              <w:t>SESSION_DATE</w:t>
            </w:r>
          </w:p>
        </w:tc>
        <w:tc>
          <w:tcPr>
            <w:tcW w:type="dxa" w:w="2394"/>
            <w:shd w:val="clear" w:color="auto" w:fill="FFF4EE"/>
          </w:tcPr>
          <w:p>
            <w:pPr>
              <w:keepNext/>
              <w:spacing w:before="0" w:after="0" w:line="240" w:lineRule="auto"/>
              <w:jc w:val="left"/>
            </w:pPr>
            <w:r>
              <w:rPr>
                <w:sz w:val="18"/>
              </w:rPr>
              <w:t>1 September 2023 (after conversion)</w:t>
            </w:r>
          </w:p>
        </w:tc>
        <w:tc>
          <w:tcPr>
            <w:tcW w:type="dxa" w:w="3684"/>
            <w:shd w:val="clear" w:color="auto" w:fill="FFF4EE"/>
          </w:tcPr>
          <w:p>
            <w:pPr>
              <w:keepNext/>
              <w:spacing w:before="0" w:after="0" w:line="240" w:lineRule="auto"/>
              <w:jc w:val="left"/>
            </w:pPr>
            <w:r>
              <w:rPr>
                <w:sz w:val="18"/>
              </w:rPr>
              <w:t>When the evaluation took place.</w:t>
            </w:r>
          </w:p>
        </w:tc>
      </w:tr>
      <w:tr>
        <w:trPr>
          <w:cantSplit/>
        </w:trPr>
        <w:tc>
          <w:tcPr>
            <w:tcW w:type="dxa" w:w="2947"/>
          </w:tcPr>
          <w:p>
            <w:pPr>
              <w:keepNext/>
              <w:spacing w:before="0" w:after="0" w:line="240" w:lineRule="auto"/>
              <w:jc w:val="left"/>
            </w:pPr>
            <w:r>
              <w:rPr>
                <w:rFonts w:ascii="Consolas" w:hAnsi="Consolas" w:cs="Consolas"/>
                <w:sz w:val="18"/>
              </w:rPr>
              <w:t>ID_EVALUATION_SESSION</w:t>
            </w:r>
          </w:p>
        </w:tc>
        <w:tc>
          <w:tcPr>
            <w:tcW w:type="dxa" w:w="2394"/>
          </w:tcPr>
          <w:p>
            <w:pPr>
              <w:keepNext/>
              <w:spacing w:before="0" w:after="0" w:line="240" w:lineRule="auto"/>
              <w:jc w:val="left"/>
            </w:pPr>
            <w:r>
              <w:rPr>
                <w:sz w:val="18"/>
              </w:rPr>
              <w:t>22012</w:t>
            </w:r>
          </w:p>
        </w:tc>
        <w:tc>
          <w:tcPr>
            <w:tcW w:type="dxa" w:w="3684"/>
          </w:tcPr>
          <w:p>
            <w:pPr>
              <w:keepNext/>
              <w:spacing w:before="0" w:after="0" w:line="240" w:lineRule="auto"/>
              <w:jc w:val="left"/>
            </w:pPr>
            <w:r>
              <w:rPr>
                <w:sz w:val="18"/>
              </w:rPr>
              <w:t>Which evaluation this belongs to.</w:t>
            </w:r>
          </w:p>
        </w:tc>
      </w:tr>
      <w:tr>
        <w:trPr>
          <w:cantSplit/>
        </w:trPr>
        <w:tc>
          <w:tcPr>
            <w:tcW w:type="dxa" w:w="2947"/>
            <w:shd w:val="clear" w:color="auto" w:fill="FFF4EE"/>
          </w:tcPr>
          <w:p>
            <w:pPr>
              <w:keepNext/>
              <w:spacing w:before="0" w:after="0" w:line="240" w:lineRule="auto"/>
              <w:jc w:val="left"/>
            </w:pPr>
            <w:r>
              <w:rPr>
                <w:rFonts w:ascii="Consolas" w:hAnsi="Consolas" w:cs="Consolas"/>
                <w:sz w:val="18"/>
              </w:rPr>
              <w:t>ID_SAMPLE</w:t>
            </w:r>
          </w:p>
        </w:tc>
        <w:tc>
          <w:tcPr>
            <w:tcW w:type="dxa" w:w="2394"/>
            <w:shd w:val="clear" w:color="auto" w:fill="FFF4EE"/>
          </w:tcPr>
          <w:p>
            <w:pPr>
              <w:keepNext/>
              <w:spacing w:before="0" w:after="0" w:line="240" w:lineRule="auto"/>
              <w:jc w:val="left"/>
            </w:pPr>
            <w:r>
              <w:rPr>
                <w:sz w:val="18"/>
              </w:rPr>
              <w:t>569474</w:t>
            </w:r>
          </w:p>
        </w:tc>
        <w:tc>
          <w:tcPr>
            <w:tcW w:type="dxa" w:w="3684"/>
            <w:shd w:val="clear" w:color="auto" w:fill="FFF4EE"/>
          </w:tcPr>
          <w:p>
            <w:pPr>
              <w:keepNext/>
              <w:spacing w:before="0" w:after="0" w:line="240" w:lineRule="auto"/>
              <w:jc w:val="left"/>
            </w:pPr>
            <w:r>
              <w:rPr>
                <w:sz w:val="18"/>
              </w:rPr>
              <w:t>Which sample she evaluated.</w:t>
            </w:r>
          </w:p>
        </w:tc>
      </w:tr>
      <w:tr>
        <w:trPr>
          <w:cantSplit/>
        </w:trPr>
        <w:tc>
          <w:tcPr>
            <w:tcW w:type="dxa" w:w="2947"/>
          </w:tcPr>
          <w:p>
            <w:pPr>
              <w:keepNext/>
              <w:spacing w:before="0" w:after="0" w:line="240" w:lineRule="auto"/>
              <w:jc w:val="left"/>
            </w:pPr>
            <w:r>
              <w:rPr>
                <w:rFonts w:ascii="Consolas" w:hAnsi="Consolas" w:cs="Consolas"/>
                <w:sz w:val="18"/>
              </w:rPr>
              <w:t>RUN</w:t>
            </w:r>
            <w:r>
              <w:rPr>
                <w:sz w:val="18"/>
              </w:rPr>
              <w:t xml:space="preserve">, </w:t>
            </w:r>
            <w:r>
              <w:rPr>
                <w:rFonts w:ascii="Consolas" w:hAnsi="Consolas" w:cs="Consolas"/>
                <w:sz w:val="18"/>
              </w:rPr>
              <w:t>HOLE</w:t>
            </w:r>
          </w:p>
        </w:tc>
        <w:tc>
          <w:tcPr>
            <w:tcW w:type="dxa" w:w="2394"/>
          </w:tcPr>
          <w:p>
            <w:pPr>
              <w:keepNext/>
              <w:spacing w:before="0" w:after="0" w:line="240" w:lineRule="auto"/>
              <w:jc w:val="left"/>
            </w:pPr>
            <w:r>
              <w:rPr>
                <w:sz w:val="18"/>
              </w:rPr>
              <w:t>A, 1</w:t>
            </w:r>
          </w:p>
        </w:tc>
        <w:tc>
          <w:tcPr>
            <w:tcW w:type="dxa" w:w="3684"/>
          </w:tcPr>
          <w:p>
            <w:pPr>
              <w:keepNext/>
              <w:spacing w:before="0" w:after="0" w:line="240" w:lineRule="auto"/>
              <w:jc w:val="left"/>
            </w:pPr>
            <w:r>
              <w:rPr>
                <w:sz w:val="18"/>
              </w:rPr>
              <w:t>Position A1.</w:t>
            </w:r>
          </w:p>
        </w:tc>
      </w:tr>
      <w:tr>
        <w:trPr>
          <w:cantSplit/>
        </w:trPr>
        <w:tc>
          <w:tcPr>
            <w:tcW w:type="dxa" w:w="2947"/>
            <w:shd w:val="clear" w:color="auto" w:fill="FFF4EE"/>
          </w:tcPr>
          <w:p>
            <w:pPr>
              <w:keepNext/>
              <w:spacing w:before="0" w:after="0" w:line="240" w:lineRule="auto"/>
              <w:jc w:val="left"/>
            </w:pPr>
            <w:r>
              <w:rPr>
                <w:rFonts w:ascii="Consolas" w:hAnsi="Consolas" w:cs="Consolas"/>
                <w:sz w:val="18"/>
              </w:rPr>
              <w:t>SniffTime</w:t>
            </w:r>
          </w:p>
        </w:tc>
        <w:tc>
          <w:tcPr>
            <w:tcW w:type="dxa" w:w="2394"/>
            <w:shd w:val="clear" w:color="auto" w:fill="FFF4EE"/>
          </w:tcPr>
          <w:p>
            <w:pPr>
              <w:keepNext/>
              <w:spacing w:before="0" w:after="0" w:line="240" w:lineRule="auto"/>
              <w:jc w:val="left"/>
            </w:pPr>
            <w:r>
              <w:rPr>
                <w:sz w:val="18"/>
              </w:rPr>
              <w:t>2752</w:t>
            </w:r>
          </w:p>
        </w:tc>
        <w:tc>
          <w:tcPr>
            <w:tcW w:type="dxa" w:w="3684"/>
            <w:shd w:val="clear" w:color="auto" w:fill="FFF4EE"/>
          </w:tcPr>
          <w:p>
            <w:pPr>
              <w:keepNext/>
              <w:spacing w:before="0" w:after="0" w:line="240" w:lineRule="auto"/>
              <w:jc w:val="left"/>
            </w:pPr>
            <w:r>
              <w:rPr>
                <w:sz w:val="18"/>
              </w:rPr>
              <w:t>About 2.75 seconds of recorded sniff time.</w:t>
            </w:r>
          </w:p>
        </w:tc>
      </w:tr>
      <w:tr>
        <w:trPr>
          <w:cantSplit/>
        </w:trPr>
        <w:tc>
          <w:tcPr>
            <w:tcW w:type="dxa" w:w="2947"/>
          </w:tcPr>
          <w:p>
            <w:pPr>
              <w:keepNext/>
              <w:spacing w:before="0" w:after="0" w:line="240" w:lineRule="auto"/>
              <w:jc w:val="left"/>
            </w:pPr>
            <w:r>
              <w:rPr>
                <w:rFonts w:ascii="Consolas" w:hAnsi="Consolas" w:cs="Consolas"/>
                <w:sz w:val="18"/>
              </w:rPr>
              <w:t>ID_BL_DOTS</w:t>
            </w:r>
            <w:r>
              <w:rPr>
                <w:sz w:val="18"/>
              </w:rPr>
              <w:t xml:space="preserve">, </w:t>
            </w:r>
            <w:r>
              <w:rPr>
                <w:rFonts w:ascii="Consolas" w:hAnsi="Consolas" w:cs="Consolas"/>
                <w:sz w:val="18"/>
              </w:rPr>
              <w:t>LEVEL_NAME</w:t>
            </w:r>
          </w:p>
        </w:tc>
        <w:tc>
          <w:tcPr>
            <w:tcW w:type="dxa" w:w="2394"/>
          </w:tcPr>
          <w:p>
            <w:pPr>
              <w:keepNext/>
              <w:spacing w:before="0" w:after="0" w:line="240" w:lineRule="auto"/>
              <w:jc w:val="left"/>
            </w:pPr>
            <w:r>
              <w:rPr>
                <w:sz w:val="18"/>
              </w:rPr>
              <w:t>4, 3AFB</w:t>
            </w:r>
          </w:p>
        </w:tc>
        <w:tc>
          <w:tcPr>
            <w:tcW w:type="dxa" w:w="3684"/>
          </w:tcPr>
          <w:p>
            <w:pPr>
              <w:keepNext/>
              <w:spacing w:before="0" w:after="0" w:line="240" w:lineRule="auto"/>
              <w:jc w:val="left"/>
            </w:pPr>
            <w:r>
              <w:rPr>
                <w:sz w:val="18"/>
              </w:rPr>
              <w:t>Positive clinic microscopy category.</w:t>
            </w:r>
          </w:p>
        </w:tc>
      </w:tr>
      <w:tr>
        <w:trPr>
          <w:cantSplit/>
        </w:trPr>
        <w:tc>
          <w:tcPr>
            <w:tcW w:type="dxa" w:w="2947"/>
            <w:shd w:val="clear" w:color="auto" w:fill="FFF4EE"/>
          </w:tcPr>
          <w:p>
            <w:pPr>
              <w:keepNext/>
              <w:spacing w:before="0" w:after="0" w:line="240" w:lineRule="auto"/>
              <w:jc w:val="left"/>
            </w:pPr>
            <w:r>
              <w:rPr>
                <w:rFonts w:ascii="Consolas" w:hAnsi="Consolas" w:cs="Consolas"/>
                <w:sz w:val="18"/>
              </w:rPr>
              <w:t>HIT</w:t>
            </w:r>
            <w:r>
              <w:rPr>
                <w:sz w:val="18"/>
              </w:rPr>
              <w:t xml:space="preserve">, </w:t>
            </w:r>
            <w:r>
              <w:rPr>
                <w:rFonts w:ascii="Consolas" w:hAnsi="Consolas" w:cs="Consolas"/>
                <w:sz w:val="18"/>
              </w:rPr>
              <w:t>REWARD</w:t>
            </w:r>
          </w:p>
        </w:tc>
        <w:tc>
          <w:tcPr>
            <w:tcW w:type="dxa" w:w="2394"/>
            <w:shd w:val="clear" w:color="auto" w:fill="FFF4EE"/>
          </w:tcPr>
          <w:p>
            <w:pPr>
              <w:keepNext/>
              <w:spacing w:before="0" w:after="0" w:line="240" w:lineRule="auto"/>
              <w:jc w:val="left"/>
            </w:pPr>
            <w:r>
              <w:rPr>
                <w:sz w:val="18"/>
              </w:rPr>
              <w:t>True, True</w:t>
            </w:r>
          </w:p>
        </w:tc>
        <w:tc>
          <w:tcPr>
            <w:tcW w:type="dxa" w:w="3684"/>
            <w:shd w:val="clear" w:color="auto" w:fill="FFF4EE"/>
          </w:tcPr>
          <w:p>
            <w:pPr>
              <w:keepNext/>
              <w:spacing w:before="0" w:after="0" w:line="240" w:lineRule="auto"/>
              <w:jc w:val="left"/>
            </w:pPr>
            <w:r>
              <w:rPr>
                <w:sz w:val="18"/>
              </w:rPr>
              <w:t>An indication and a reward were recorded.</w:t>
            </w:r>
          </w:p>
        </w:tc>
      </w:tr>
      <w:tr>
        <w:trPr>
          <w:cantSplit/>
        </w:trPr>
        <w:tc>
          <w:tcPr>
            <w:tcW w:type="dxa" w:w="2947"/>
          </w:tcPr>
          <w:p>
            <w:pPr>
              <w:spacing w:before="0" w:after="0" w:line="240" w:lineRule="auto"/>
              <w:jc w:val="left"/>
            </w:pPr>
            <w:r>
              <w:rPr>
                <w:rFonts w:ascii="Consolas" w:hAnsi="Consolas" w:cs="Consolas"/>
                <w:sz w:val="18"/>
              </w:rPr>
              <w:t>STATUS_KNOWNPOS</w:t>
            </w:r>
            <w:r>
              <w:rPr>
                <w:sz w:val="18"/>
              </w:rPr>
              <w:t xml:space="preserve">, </w:t>
            </w:r>
            <w:r>
              <w:rPr>
                <w:rFonts w:ascii="Consolas" w:hAnsi="Consolas" w:cs="Consolas"/>
                <w:sz w:val="18"/>
              </w:rPr>
              <w:t>STATUS_BLINDPOS</w:t>
            </w:r>
          </w:p>
        </w:tc>
        <w:tc>
          <w:tcPr>
            <w:tcW w:type="dxa" w:w="2394"/>
          </w:tcPr>
          <w:p>
            <w:pPr>
              <w:spacing w:before="0" w:after="0" w:line="240" w:lineRule="auto"/>
              <w:jc w:val="left"/>
            </w:pPr>
            <w:r>
              <w:rPr>
                <w:sz w:val="18"/>
              </w:rPr>
              <w:t>True, False</w:t>
            </w:r>
          </w:p>
        </w:tc>
        <w:tc>
          <w:tcPr>
            <w:tcW w:type="dxa" w:w="3684"/>
          </w:tcPr>
          <w:p>
            <w:pPr>
              <w:spacing w:before="0" w:after="0" w:line="240" w:lineRule="auto"/>
              <w:jc w:val="left"/>
            </w:pPr>
            <w:r>
              <w:rPr>
                <w:sz w:val="18"/>
              </w:rPr>
              <w:t>Marked known-positive, not blind-positive.</w:t>
            </w:r>
          </w:p>
        </w:tc>
      </w:tr>
    </w:tbl>
    <w:p>
      <w:pPr>
        <w:spacing w:after="60"/>
      </w:pPr>
    </w:p>
    <w:p>
      <w:pPr>
        <w:spacing w:after="120" w:line="264" w:lineRule="auto"/>
        <w:jc w:val="both"/>
      </w:pPr>
      <w:r>
        <w:rPr/>
        <w:t xml:space="preserve">In words: </w:t>
      </w:r>
      <w:r>
        <w:rPr>
          <w:b/>
        </w:rPr>
        <w:t>Bertha evaluated sample 569474 at A1 on 1 September. Her recorded sniff duration was about 2.75 seconds. She indicated the sample, agreeing with its positive clinic microscopy result, and a reward was recorded.</w:t>
      </w:r>
    </w:p>
    <w:p>
      <w:pPr>
        <w:spacing w:after="120" w:line="264" w:lineRule="auto"/>
        <w:jc w:val="both"/>
      </w:pPr>
      <w:r>
        <w:rPr/>
        <w:t xml:space="preserve">At A2 in the same session, sample 525681 had positive clinic category </w:t>
      </w:r>
      <w:r>
        <w:rPr>
          <w:rFonts w:ascii="Consolas" w:hAnsi="Consolas" w:cs="Consolas"/>
          <w:sz w:val="18"/>
        </w:rPr>
        <w:t>1+</w:t>
      </w:r>
      <w:r>
        <w:rPr/>
        <w:t xml:space="preserve">, </w:t>
      </w:r>
      <w:r>
        <w:rPr>
          <w:rFonts w:ascii="Consolas" w:hAnsi="Consolas" w:cs="Consolas"/>
          <w:sz w:val="18"/>
        </w:rPr>
        <w:t>SniffTime = 1236</w:t>
      </w:r>
      <w:r>
        <w:rPr/>
        <w:t xml:space="preserve"> ms, </w:t>
      </w:r>
      <w:r>
        <w:rPr>
          <w:rFonts w:ascii="Consolas" w:hAnsi="Consolas" w:cs="Consolas"/>
          <w:sz w:val="18"/>
        </w:rPr>
        <w:t>HIT = False</w:t>
      </w:r>
      <w:r>
        <w:rPr/>
        <w:t xml:space="preserve"> and </w:t>
      </w:r>
      <w:r>
        <w:rPr>
          <w:rFonts w:ascii="Consolas" w:hAnsi="Consolas" w:cs="Consolas"/>
          <w:sz w:val="18"/>
        </w:rPr>
        <w:t>REWARD = False</w:t>
      </w:r>
      <w:r>
        <w:rPr/>
        <w:t>. This is a missed indication relative to clinic microscopy. A shorter sniff does not change the sample's laboratory result.</w:t>
      </w:r>
    </w:p>
    <w:p>
      <w:pPr>
        <w:pStyle w:val="Heading1"/>
        <w:spacing w:before="360" w:after="120"/>
      </w:pPr>
      <w:r>
        <w:rPr/>
        <w:t>Column dictionary</w:t>
      </w:r>
    </w:p>
    <w:p>
      <w:pPr>
        <w:spacing w:after="120" w:line="264" w:lineRule="auto"/>
        <w:jc w:val="both"/>
      </w:pPr>
      <w:r>
        <w:rPr/>
        <w:t>All 34 columns in your workbook, grouped by theme, with what each one means and what to watch out for.</w:t>
      </w:r>
    </w:p>
    <w:p>
      <w:pPr>
        <w:keepNext/>
        <w:pStyle w:val="Heading2"/>
        <w:ind w:left="567" w:hanging="567"/>
        <w:spacing w:before="240" w:after="80"/>
      </w:pPr>
      <w:r>
        <w:rPr/>
        <w:t>Identity and diagnostic results</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2166"/>
        <w:gridCol w:w="6859"/>
      </w:tblGrid>
      <w:tr>
        <w:trPr>
          <w:tblHeader/>
          <w:cantSplit/>
        </w:trPr>
        <w:tc>
          <w:tcPr>
            <w:tcW w:type="dxa" w:w="2166"/>
            <w:shd w:val="clear" w:color="auto" w:fill="FC5B00"/>
          </w:tcPr>
          <w:p>
            <w:pPr>
              <w:keepNext/>
              <w:spacing w:before="0" w:after="0" w:line="240" w:lineRule="auto"/>
              <w:jc w:val="left"/>
            </w:pPr>
            <w:r>
              <w:rPr>
                <w:b/>
                <w:color w:val="FFFFFF"/>
                <w:sz w:val="18"/>
              </w:rPr>
              <w:t>Column</w:t>
            </w:r>
          </w:p>
        </w:tc>
        <w:tc>
          <w:tcPr>
            <w:tcW w:type="dxa" w:w="6859"/>
            <w:shd w:val="clear" w:color="auto" w:fill="FC5B00"/>
          </w:tcPr>
          <w:p>
            <w:pPr>
              <w:keepNext/>
              <w:spacing w:before="0" w:after="0" w:line="240" w:lineRule="auto"/>
              <w:jc w:val="left"/>
            </w:pPr>
            <w:r>
              <w:rPr>
                <w:b/>
                <w:color w:val="FFFFFF"/>
                <w:sz w:val="18"/>
              </w:rPr>
              <w:t>Meaning and caution</w:t>
            </w:r>
          </w:p>
        </w:tc>
      </w:tr>
      <w:tr>
        <w:trPr>
          <w:cantSplit/>
        </w:trPr>
        <w:tc>
          <w:tcPr>
            <w:tcW w:type="dxa" w:w="2166"/>
          </w:tcPr>
          <w:p>
            <w:pPr>
              <w:keepNext/>
              <w:spacing w:before="0" w:after="0" w:line="240" w:lineRule="auto"/>
              <w:jc w:val="left"/>
            </w:pPr>
            <w:r>
              <w:rPr>
                <w:rFonts w:ascii="Consolas" w:hAnsi="Consolas" w:cs="Consolas"/>
                <w:sz w:val="18"/>
              </w:rPr>
              <w:t>RAT_NAME</w:t>
            </w:r>
          </w:p>
        </w:tc>
        <w:tc>
          <w:tcPr>
            <w:tcW w:type="dxa" w:w="6859"/>
          </w:tcPr>
          <w:p>
            <w:pPr>
              <w:keepNext/>
              <w:spacing w:before="0" w:after="0" w:line="240" w:lineRule="auto"/>
              <w:jc w:val="left"/>
            </w:pPr>
            <w:r>
              <w:rPr>
                <w:sz w:val="18"/>
              </w:rPr>
              <w:t>Rat evaluating the sample; use it to distinguish individual responses.</w:t>
            </w:r>
          </w:p>
        </w:tc>
      </w:tr>
      <w:tr>
        <w:trPr>
          <w:cantSplit/>
        </w:trPr>
        <w:tc>
          <w:tcPr>
            <w:tcW w:type="dxa" w:w="2166"/>
            <w:shd w:val="clear" w:color="auto" w:fill="FFF4EE"/>
          </w:tcPr>
          <w:p>
            <w:pPr>
              <w:keepNext/>
              <w:spacing w:before="0" w:after="0" w:line="240" w:lineRule="auto"/>
              <w:jc w:val="left"/>
            </w:pPr>
            <w:r>
              <w:rPr>
                <w:rFonts w:ascii="Consolas" w:hAnsi="Consolas" w:cs="Consolas"/>
                <w:sz w:val="18"/>
              </w:rPr>
              <w:t>ID_PATIENT</w:t>
            </w:r>
          </w:p>
        </w:tc>
        <w:tc>
          <w:tcPr>
            <w:tcW w:type="dxa" w:w="6859"/>
            <w:shd w:val="clear" w:color="auto" w:fill="FFF4EE"/>
          </w:tcPr>
          <w:p>
            <w:pPr>
              <w:keepNext/>
              <w:spacing w:before="0" w:after="0" w:line="240" w:lineRule="auto"/>
              <w:jc w:val="left"/>
            </w:pPr>
            <w:r>
              <w:rPr>
                <w:sz w:val="18"/>
              </w:rPr>
              <w:t>Patient identifier linking that patient's samples. Not a measurement. Restrict access.</w:t>
            </w:r>
          </w:p>
        </w:tc>
      </w:tr>
      <w:tr>
        <w:trPr>
          <w:cantSplit/>
        </w:trPr>
        <w:tc>
          <w:tcPr>
            <w:tcW w:type="dxa" w:w="2166"/>
          </w:tcPr>
          <w:p>
            <w:pPr>
              <w:keepNext/>
              <w:spacing w:before="0" w:after="0" w:line="240" w:lineRule="auto"/>
              <w:jc w:val="left"/>
            </w:pPr>
            <w:r>
              <w:rPr>
                <w:rFonts w:ascii="Consolas" w:hAnsi="Consolas" w:cs="Consolas"/>
                <w:sz w:val="18"/>
              </w:rPr>
              <w:t>ID_SAMPLE</w:t>
            </w:r>
          </w:p>
        </w:tc>
        <w:tc>
          <w:tcPr>
            <w:tcW w:type="dxa" w:w="6859"/>
          </w:tcPr>
          <w:p>
            <w:pPr>
              <w:keepNext/>
              <w:spacing w:before="0" w:after="0" w:line="240" w:lineRule="auto"/>
              <w:jc w:val="left"/>
            </w:pPr>
            <w:r>
              <w:rPr>
                <w:sz w:val="18"/>
              </w:rPr>
              <w:t>Identifier of the sample; can repeat across rats and sessions.</w:t>
            </w:r>
          </w:p>
        </w:tc>
      </w:tr>
      <w:tr>
        <w:trPr>
          <w:cantSplit/>
        </w:trPr>
        <w:tc>
          <w:tcPr>
            <w:tcW w:type="dxa" w:w="2166"/>
            <w:shd w:val="clear" w:color="auto" w:fill="FFF4EE"/>
          </w:tcPr>
          <w:p>
            <w:pPr>
              <w:keepNext/>
              <w:spacing w:before="0" w:after="0" w:line="240" w:lineRule="auto"/>
              <w:jc w:val="left"/>
            </w:pPr>
            <w:r>
              <w:rPr>
                <w:rFonts w:ascii="Consolas" w:hAnsi="Consolas" w:cs="Consolas"/>
                <w:sz w:val="18"/>
              </w:rPr>
              <w:t>LEVEL_NAME</w:t>
            </w:r>
          </w:p>
        </w:tc>
        <w:tc>
          <w:tcPr>
            <w:tcW w:type="dxa" w:w="6859"/>
            <w:shd w:val="clear" w:color="auto" w:fill="FFF4EE"/>
          </w:tcPr>
          <w:p>
            <w:pPr>
              <w:keepNext/>
              <w:spacing w:before="0" w:after="0" w:line="240" w:lineRule="auto"/>
              <w:jc w:val="left"/>
            </w:pPr>
            <w:r>
              <w:rPr>
                <w:sz w:val="18"/>
              </w:rPr>
              <w:t xml:space="preserve">Text bacterial-level/target category (e.g. </w:t>
            </w:r>
            <w:r>
              <w:rPr>
                <w:rFonts w:ascii="Consolas" w:hAnsi="Consolas" w:cs="Consolas"/>
                <w:sz w:val="18"/>
              </w:rPr>
              <w:t>3AFB</w:t>
            </w:r>
            <w:r>
              <w:rPr>
                <w:sz w:val="18"/>
              </w:rPr>
              <w:t xml:space="preserve">, </w:t>
            </w:r>
            <w:r>
              <w:rPr>
                <w:rFonts w:ascii="Consolas" w:hAnsi="Consolas" w:cs="Consolas"/>
                <w:sz w:val="18"/>
              </w:rPr>
              <w:t>1+</w:t>
            </w:r>
            <w:r>
              <w:rPr>
                <w:sz w:val="18"/>
              </w:rPr>
              <w:t xml:space="preserve">, </w:t>
            </w:r>
            <w:r>
              <w:rPr>
                <w:rFonts w:ascii="Consolas" w:hAnsi="Consolas" w:cs="Consolas"/>
                <w:sz w:val="18"/>
              </w:rPr>
              <w:t>-</w:t>
            </w:r>
            <w:r>
              <w:rPr>
                <w:sz w:val="18"/>
              </w:rPr>
              <w:t xml:space="preserve"> or a surrogate marker). A summary label; use the method-specific result columns for analysis.</w:t>
            </w:r>
          </w:p>
        </w:tc>
      </w:tr>
      <w:tr>
        <w:trPr>
          <w:cantSplit/>
        </w:trPr>
        <w:tc>
          <w:tcPr>
            <w:tcW w:type="dxa" w:w="2166"/>
          </w:tcPr>
          <w:p>
            <w:pPr>
              <w:keepNext/>
              <w:spacing w:before="0" w:after="0" w:line="240" w:lineRule="auto"/>
              <w:jc w:val="left"/>
            </w:pPr>
            <w:r>
              <w:rPr>
                <w:rFonts w:ascii="Consolas" w:hAnsi="Consolas" w:cs="Consolas"/>
                <w:sz w:val="18"/>
              </w:rPr>
              <w:t>ID_BL_DOTS</w:t>
            </w:r>
          </w:p>
        </w:tc>
        <w:tc>
          <w:tcPr>
            <w:tcW w:type="dxa" w:w="6859"/>
          </w:tcPr>
          <w:p>
            <w:pPr>
              <w:keepNext/>
              <w:spacing w:before="0" w:after="0" w:line="240" w:lineRule="auto"/>
              <w:jc w:val="left"/>
            </w:pPr>
            <w:r>
              <w:rPr>
                <w:sz w:val="18"/>
              </w:rPr>
              <w:t>Partner clinic microscopy result, encoded as a category. The only diagnostic field used in the previous analysis's label.</w:t>
            </w:r>
          </w:p>
        </w:tc>
      </w:tr>
      <w:tr>
        <w:trPr>
          <w:cantSplit/>
        </w:trPr>
        <w:tc>
          <w:tcPr>
            <w:tcW w:type="dxa" w:w="2166"/>
            <w:shd w:val="clear" w:color="auto" w:fill="FFF4EE"/>
          </w:tcPr>
          <w:p>
            <w:pPr>
              <w:keepNext/>
              <w:spacing w:before="0" w:after="0" w:line="240" w:lineRule="auto"/>
              <w:jc w:val="left"/>
            </w:pPr>
            <w:r>
              <w:rPr>
                <w:rFonts w:ascii="Consolas" w:hAnsi="Consolas" w:cs="Consolas"/>
                <w:sz w:val="18"/>
              </w:rPr>
              <w:t>ID_GXP_DOTS</w:t>
            </w:r>
          </w:p>
        </w:tc>
        <w:tc>
          <w:tcPr>
            <w:tcW w:type="dxa" w:w="6859"/>
            <w:shd w:val="clear" w:color="auto" w:fill="FFF4EE"/>
          </w:tcPr>
          <w:p>
            <w:pPr>
              <w:keepNext/>
              <w:spacing w:before="0" w:after="0" w:line="240" w:lineRule="auto"/>
              <w:jc w:val="left"/>
            </w:pPr>
            <w:r>
              <w:rPr>
                <w:sz w:val="18"/>
              </w:rPr>
              <w:t>Partner clinic GeneXpert (molecular) result. Blank = not tested; 1 = negative.</w:t>
            </w:r>
          </w:p>
        </w:tc>
      </w:tr>
      <w:tr>
        <w:trPr>
          <w:cantSplit/>
        </w:trPr>
        <w:tc>
          <w:tcPr>
            <w:tcW w:type="dxa" w:w="2166"/>
          </w:tcPr>
          <w:p>
            <w:pPr>
              <w:keepNext/>
              <w:spacing w:before="0" w:after="0" w:line="240" w:lineRule="auto"/>
              <w:jc w:val="left"/>
            </w:pPr>
            <w:r>
              <w:rPr>
                <w:rFonts w:ascii="Consolas" w:hAnsi="Consolas" w:cs="Consolas"/>
                <w:sz w:val="18"/>
              </w:rPr>
              <w:t>ID_BL_APOPO</w:t>
            </w:r>
          </w:p>
        </w:tc>
        <w:tc>
          <w:tcPr>
            <w:tcW w:type="dxa" w:w="6859"/>
          </w:tcPr>
          <w:p>
            <w:pPr>
              <w:keepNext/>
              <w:spacing w:before="0" w:after="0" w:line="240" w:lineRule="auto"/>
              <w:jc w:val="left"/>
            </w:pPr>
            <w:r>
              <w:rPr>
                <w:sz w:val="18"/>
              </w:rPr>
              <w:t>APOPO confirmation-lab result where testing occurred. Key for clinic-negative samples later confirmed positive. Blank is not negative.</w:t>
            </w:r>
          </w:p>
        </w:tc>
      </w:tr>
      <w:tr>
        <w:trPr>
          <w:cantSplit/>
        </w:trPr>
        <w:tc>
          <w:tcPr>
            <w:tcW w:type="dxa" w:w="2166"/>
            <w:shd w:val="clear" w:color="auto" w:fill="FFF4EE"/>
          </w:tcPr>
          <w:p>
            <w:pPr>
              <w:keepNext/>
              <w:spacing w:before="0" w:after="0" w:line="240" w:lineRule="auto"/>
              <w:jc w:val="left"/>
            </w:pPr>
            <w:r>
              <w:rPr>
                <w:rFonts w:ascii="Consolas" w:hAnsi="Consolas" w:cs="Consolas"/>
                <w:sz w:val="18"/>
              </w:rPr>
              <w:t>ID_GXP_APOPO</w:t>
            </w:r>
          </w:p>
        </w:tc>
        <w:tc>
          <w:tcPr>
            <w:tcW w:type="dxa" w:w="6859"/>
            <w:shd w:val="clear" w:color="auto" w:fill="FFF4EE"/>
          </w:tcPr>
          <w:p>
            <w:pPr>
              <w:keepNext/>
              <w:spacing w:before="0" w:after="0" w:line="240" w:lineRule="auto"/>
              <w:jc w:val="left"/>
            </w:pPr>
            <w:r>
              <w:rPr>
                <w:sz w:val="18"/>
              </w:rPr>
              <w:t>APOPO GeneXpert result. Entirely blank in this export.</w:t>
            </w:r>
          </w:p>
        </w:tc>
      </w:tr>
      <w:tr>
        <w:trPr>
          <w:cantSplit/>
        </w:trPr>
        <w:tc>
          <w:tcPr>
            <w:tcW w:type="dxa" w:w="2166"/>
          </w:tcPr>
          <w:p>
            <w:pPr>
              <w:keepNext/>
              <w:spacing w:before="0" w:after="0" w:line="240" w:lineRule="auto"/>
              <w:jc w:val="left"/>
            </w:pPr>
            <w:r>
              <w:rPr>
                <w:rFonts w:ascii="Consolas" w:hAnsi="Consolas" w:cs="Consolas"/>
                <w:sz w:val="18"/>
              </w:rPr>
              <w:t>SAMPLE_TYPE</w:t>
            </w:r>
          </w:p>
        </w:tc>
        <w:tc>
          <w:tcPr>
            <w:tcW w:type="dxa" w:w="6859"/>
          </w:tcPr>
          <w:p>
            <w:pPr>
              <w:keepNext/>
              <w:spacing w:before="0" w:after="0" w:line="240" w:lineRule="auto"/>
              <w:jc w:val="left"/>
            </w:pPr>
            <w:r>
              <w:rPr>
                <w:sz w:val="18"/>
              </w:rPr>
              <w:t xml:space="preserve">Sample/material category: </w:t>
            </w:r>
            <w:r>
              <w:rPr>
                <w:rFonts w:ascii="Consolas" w:hAnsi="Consolas" w:cs="Consolas"/>
                <w:sz w:val="18"/>
              </w:rPr>
              <w:t>Old pot</w:t>
            </w:r>
            <w:r>
              <w:rPr>
                <w:sz w:val="18"/>
              </w:rPr>
              <w:t xml:space="preserve">, </w:t>
            </w:r>
            <w:r>
              <w:rPr>
                <w:rFonts w:ascii="Consolas" w:hAnsi="Consolas" w:cs="Consolas"/>
                <w:sz w:val="18"/>
              </w:rPr>
              <w:t>New Pot</w:t>
            </w:r>
            <w:r>
              <w:rPr>
                <w:sz w:val="18"/>
              </w:rPr>
              <w:t xml:space="preserve">, </w:t>
            </w:r>
            <w:r>
              <w:rPr>
                <w:rFonts w:ascii="Consolas" w:hAnsi="Consolas" w:cs="Consolas"/>
                <w:sz w:val="18"/>
              </w:rPr>
              <w:t>BigNewPot</w:t>
            </w:r>
            <w:r>
              <w:rPr>
                <w:sz w:val="18"/>
              </w:rPr>
              <w:t xml:space="preserve">, </w:t>
            </w:r>
            <w:r>
              <w:rPr>
                <w:rFonts w:ascii="Consolas" w:hAnsi="Consolas" w:cs="Consolas"/>
                <w:sz w:val="18"/>
              </w:rPr>
              <w:t>Pre</w:t>
            </w:r>
            <w:r>
              <w:rPr>
                <w:sz w:val="18"/>
              </w:rPr>
              <w:t xml:space="preserve"> and the surrogate markers </w:t>
            </w:r>
            <w:r>
              <w:rPr>
                <w:rFonts w:ascii="Consolas" w:hAnsi="Consolas" w:cs="Consolas"/>
                <w:sz w:val="18"/>
              </w:rPr>
              <w:t>SUG</w:t>
            </w:r>
            <w:r>
              <w:rPr>
                <w:sz w:val="18"/>
              </w:rPr>
              <w:t xml:space="preserve">, </w:t>
            </w:r>
            <w:r>
              <w:rPr>
                <w:rFonts w:ascii="Consolas" w:hAnsi="Consolas" w:cs="Consolas"/>
                <w:sz w:val="18"/>
              </w:rPr>
              <w:t>SAL</w:t>
            </w:r>
            <w:r>
              <w:rPr>
                <w:sz w:val="18"/>
              </w:rPr>
              <w:t xml:space="preserve">, </w:t>
            </w:r>
            <w:r>
              <w:rPr>
                <w:rFonts w:ascii="Consolas" w:hAnsi="Consolas" w:cs="Consolas"/>
                <w:sz w:val="18"/>
              </w:rPr>
              <w:t>BTE</w:t>
            </w:r>
            <w:r>
              <w:rPr>
                <w:sz w:val="18"/>
              </w:rPr>
              <w:t xml:space="preserve">, </w:t>
            </w:r>
            <w:r>
              <w:rPr>
                <w:rFonts w:ascii="Consolas" w:hAnsi="Consolas" w:cs="Consolas"/>
                <w:sz w:val="18"/>
              </w:rPr>
              <w:t>CAM</w:t>
            </w:r>
            <w:r>
              <w:rPr>
                <w:sz w:val="18"/>
              </w:rPr>
              <w:t xml:space="preserve"> (non-TB targets).</w:t>
            </w:r>
          </w:p>
        </w:tc>
      </w:tr>
      <w:tr>
        <w:trPr>
          <w:cantSplit/>
        </w:trPr>
        <w:tc>
          <w:tcPr>
            <w:tcW w:type="dxa" w:w="2166"/>
            <w:shd w:val="clear" w:color="auto" w:fill="FFF4EE"/>
          </w:tcPr>
          <w:p>
            <w:pPr>
              <w:keepNext/>
              <w:spacing w:before="0" w:after="0" w:line="240" w:lineRule="auto"/>
              <w:jc w:val="left"/>
            </w:pPr>
            <w:r>
              <w:rPr>
                <w:rFonts w:ascii="Consolas" w:hAnsi="Consolas" w:cs="Consolas"/>
                <w:sz w:val="18"/>
              </w:rPr>
              <w:t>DOTS_NAME</w:t>
            </w:r>
          </w:p>
        </w:tc>
        <w:tc>
          <w:tcPr>
            <w:tcW w:type="dxa" w:w="6859"/>
            <w:shd w:val="clear" w:color="auto" w:fill="FFF4EE"/>
          </w:tcPr>
          <w:p>
            <w:pPr>
              <w:keepNext/>
              <w:spacing w:before="0" w:after="0" w:line="240" w:lineRule="auto"/>
              <w:jc w:val="left"/>
            </w:pPr>
            <w:r>
              <w:rPr>
                <w:sz w:val="18"/>
              </w:rPr>
              <w:t>Partner clinic supplying the sample.</w:t>
            </w:r>
          </w:p>
        </w:tc>
      </w:tr>
      <w:tr>
        <w:trPr>
          <w:cantSplit/>
        </w:trPr>
        <w:tc>
          <w:tcPr>
            <w:tcW w:type="dxa" w:w="2166"/>
          </w:tcPr>
          <w:p>
            <w:pPr>
              <w:keepNext/>
              <w:spacing w:before="0" w:after="0" w:line="240" w:lineRule="auto"/>
              <w:jc w:val="left"/>
            </w:pPr>
            <w:r>
              <w:rPr>
                <w:rFonts w:ascii="Consolas" w:hAnsi="Consolas" w:cs="Consolas"/>
                <w:sz w:val="18"/>
              </w:rPr>
              <w:t>DATE_INCOMING</w:t>
            </w:r>
          </w:p>
        </w:tc>
        <w:tc>
          <w:tcPr>
            <w:tcW w:type="dxa" w:w="6859"/>
          </w:tcPr>
          <w:p>
            <w:pPr>
              <w:keepNext/>
              <w:spacing w:before="0" w:after="0" w:line="240" w:lineRule="auto"/>
              <w:jc w:val="left"/>
            </w:pPr>
            <w:r>
              <w:rPr>
                <w:sz w:val="18"/>
              </w:rPr>
              <w:t>Date collected from the partner clinic; not necessarily the date the patient produced the sample.</w:t>
            </w:r>
          </w:p>
        </w:tc>
      </w:tr>
      <w:tr>
        <w:trPr>
          <w:cantSplit/>
        </w:trPr>
        <w:tc>
          <w:tcPr>
            <w:tcW w:type="dxa" w:w="2166"/>
            <w:shd w:val="clear" w:color="auto" w:fill="FFF4EE"/>
          </w:tcPr>
          <w:p>
            <w:pPr>
              <w:spacing w:before="0" w:after="0" w:line="240" w:lineRule="auto"/>
              <w:jc w:val="left"/>
            </w:pPr>
            <w:r>
              <w:rPr>
                <w:rFonts w:ascii="Consolas" w:hAnsi="Consolas" w:cs="Consolas"/>
                <w:sz w:val="18"/>
              </w:rPr>
              <w:t>REUSED</w:t>
            </w:r>
          </w:p>
        </w:tc>
        <w:tc>
          <w:tcPr>
            <w:tcW w:type="dxa" w:w="6859"/>
            <w:shd w:val="clear" w:color="auto" w:fill="FFF4EE"/>
          </w:tcPr>
          <w:p>
            <w:pPr>
              <w:spacing w:before="0" w:after="0" w:line="240" w:lineRule="auto"/>
              <w:jc w:val="left"/>
            </w:pPr>
            <w:r>
              <w:rPr>
                <w:sz w:val="18"/>
              </w:rPr>
              <w:t>Number of times the sample has been presented across sessions. Not the number of sniffs in this row.</w:t>
            </w:r>
          </w:p>
        </w:tc>
      </w:tr>
    </w:tbl>
    <w:p>
      <w:pPr>
        <w:spacing w:after="60"/>
      </w:pPr>
    </w:p>
    <w:p>
      <w:pPr>
        <w:keepNext/>
        <w:pStyle w:val="Heading2"/>
        <w:ind w:left="567" w:hanging="567"/>
        <w:spacing w:before="240" w:after="80"/>
      </w:pPr>
      <w:r>
        <w:rPr/>
        <w:t>Response and presentation</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2888"/>
        <w:gridCol w:w="6137"/>
      </w:tblGrid>
      <w:tr>
        <w:trPr>
          <w:tblHeader/>
          <w:cantSplit/>
        </w:trPr>
        <w:tc>
          <w:tcPr>
            <w:tcW w:type="dxa" w:w="2888"/>
            <w:shd w:val="clear" w:color="auto" w:fill="FC5B00"/>
          </w:tcPr>
          <w:p>
            <w:pPr>
              <w:keepNext/>
              <w:spacing w:before="0" w:after="0" w:line="240" w:lineRule="auto"/>
              <w:jc w:val="left"/>
            </w:pPr>
            <w:r>
              <w:rPr>
                <w:b/>
                <w:color w:val="FFFFFF"/>
                <w:sz w:val="18"/>
              </w:rPr>
              <w:t>Column</w:t>
            </w:r>
          </w:p>
        </w:tc>
        <w:tc>
          <w:tcPr>
            <w:tcW w:type="dxa" w:w="6137"/>
            <w:shd w:val="clear" w:color="auto" w:fill="FC5B00"/>
          </w:tcPr>
          <w:p>
            <w:pPr>
              <w:keepNext/>
              <w:spacing w:before="0" w:after="0" w:line="240" w:lineRule="auto"/>
              <w:jc w:val="left"/>
            </w:pPr>
            <w:r>
              <w:rPr>
                <w:b/>
                <w:color w:val="FFFFFF"/>
                <w:sz w:val="18"/>
              </w:rPr>
              <w:t>Meaning and caution</w:t>
            </w:r>
          </w:p>
        </w:tc>
      </w:tr>
      <w:tr>
        <w:trPr>
          <w:cantSplit/>
        </w:trPr>
        <w:tc>
          <w:tcPr>
            <w:tcW w:type="dxa" w:w="2888"/>
          </w:tcPr>
          <w:p>
            <w:pPr>
              <w:keepNext/>
              <w:spacing w:before="0" w:after="0" w:line="240" w:lineRule="auto"/>
              <w:jc w:val="left"/>
            </w:pPr>
            <w:r>
              <w:rPr>
                <w:rFonts w:ascii="Consolas" w:hAnsi="Consolas" w:cs="Consolas"/>
                <w:sz w:val="18"/>
              </w:rPr>
              <w:t>RUN</w:t>
            </w:r>
          </w:p>
        </w:tc>
        <w:tc>
          <w:tcPr>
            <w:tcW w:type="dxa" w:w="6137"/>
          </w:tcPr>
          <w:p>
            <w:pPr>
              <w:keepNext/>
              <w:spacing w:before="0" w:after="0" w:line="240" w:lineRule="auto"/>
              <w:jc w:val="left"/>
            </w:pPr>
            <w:r>
              <w:rPr>
                <w:sz w:val="18"/>
              </w:rPr>
              <w:t>Sample-bar or presentation-block letter (A, B, …). Bar size can depend on configuration.</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HOLE</w:t>
            </w:r>
          </w:p>
        </w:tc>
        <w:tc>
          <w:tcPr>
            <w:tcW w:type="dxa" w:w="6137"/>
            <w:shd w:val="clear" w:color="auto" w:fill="FFF4EE"/>
          </w:tcPr>
          <w:p>
            <w:pPr>
              <w:keepNext/>
              <w:spacing w:before="0" w:after="0" w:line="240" w:lineRule="auto"/>
              <w:jc w:val="left"/>
            </w:pPr>
            <w:r>
              <w:rPr>
                <w:sz w:val="18"/>
              </w:rPr>
              <w:t>Position within the run; A1 and B1 are different positions.</w:t>
            </w:r>
          </w:p>
        </w:tc>
      </w:tr>
      <w:tr>
        <w:trPr>
          <w:cantSplit/>
        </w:trPr>
        <w:tc>
          <w:tcPr>
            <w:tcW w:type="dxa" w:w="2888"/>
          </w:tcPr>
          <w:p>
            <w:pPr>
              <w:keepNext/>
              <w:spacing w:before="0" w:after="0" w:line="240" w:lineRule="auto"/>
              <w:jc w:val="left"/>
            </w:pPr>
            <w:r>
              <w:rPr>
                <w:rFonts w:ascii="Consolas" w:hAnsi="Consolas" w:cs="Consolas"/>
                <w:sz w:val="18"/>
              </w:rPr>
              <w:t>HIT</w:t>
            </w:r>
          </w:p>
        </w:tc>
        <w:tc>
          <w:tcPr>
            <w:tcW w:type="dxa" w:w="6137"/>
          </w:tcPr>
          <w:p>
            <w:pPr>
              <w:keepNext/>
              <w:spacing w:before="0" w:after="0" w:line="240" w:lineRule="auto"/>
              <w:jc w:val="left"/>
            </w:pPr>
            <w:r>
              <w:rPr>
                <w:sz w:val="18"/>
              </w:rPr>
              <w:t>Recorded indication: true = suspected-positive screening signal, not confirmed TB.</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REWARD</w:t>
            </w:r>
          </w:p>
        </w:tc>
        <w:tc>
          <w:tcPr>
            <w:tcW w:type="dxa" w:w="6137"/>
            <w:shd w:val="clear" w:color="auto" w:fill="FFF4EE"/>
          </w:tcPr>
          <w:p>
            <w:pPr>
              <w:keepNext/>
              <w:spacing w:before="0" w:after="0" w:line="240" w:lineRule="auto"/>
              <w:jc w:val="left"/>
            </w:pPr>
            <w:r>
              <w:rPr>
                <w:sz w:val="18"/>
              </w:rPr>
              <w:t>Whether the rat was rewarded. A hit does not always get a reward (e.g. blind positives).</w:t>
            </w:r>
          </w:p>
        </w:tc>
      </w:tr>
      <w:tr>
        <w:trPr>
          <w:cantSplit/>
        </w:trPr>
        <w:tc>
          <w:tcPr>
            <w:tcW w:type="dxa" w:w="2888"/>
          </w:tcPr>
          <w:p>
            <w:pPr>
              <w:keepNext/>
              <w:spacing w:before="0" w:after="0" w:line="240" w:lineRule="auto"/>
              <w:jc w:val="left"/>
            </w:pPr>
            <w:r>
              <w:rPr>
                <w:rFonts w:ascii="Consolas" w:hAnsi="Consolas" w:cs="Consolas"/>
                <w:sz w:val="18"/>
              </w:rPr>
              <w:t>SniffTime</w:t>
            </w:r>
          </w:p>
        </w:tc>
        <w:tc>
          <w:tcPr>
            <w:tcW w:type="dxa" w:w="6137"/>
          </w:tcPr>
          <w:p>
            <w:pPr>
              <w:keepNext/>
              <w:spacing w:before="0" w:after="0" w:line="240" w:lineRule="auto"/>
              <w:jc w:val="left"/>
            </w:pPr>
            <w:r>
              <w:rPr>
                <w:sz w:val="18"/>
              </w:rPr>
              <w:t>Recorded duration in milliseconds (divide by 1,000 for seconds). It measures timing, not bacterial load.</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ReadTotalSnifftime</w:t>
            </w:r>
          </w:p>
        </w:tc>
        <w:tc>
          <w:tcPr>
            <w:tcW w:type="dxa" w:w="6137"/>
            <w:shd w:val="clear" w:color="auto" w:fill="FFF4EE"/>
          </w:tcPr>
          <w:p>
            <w:pPr>
              <w:keepNext/>
              <w:spacing w:before="0" w:after="0" w:line="240" w:lineRule="auto"/>
              <w:jc w:val="left"/>
            </w:pPr>
            <w:r>
              <w:rPr>
                <w:sz w:val="18"/>
              </w:rPr>
              <w:t>Configuration flag, always true in this export; not a duration.</w:t>
            </w:r>
          </w:p>
        </w:tc>
      </w:tr>
      <w:tr>
        <w:trPr>
          <w:cantSplit/>
        </w:trPr>
        <w:tc>
          <w:tcPr>
            <w:tcW w:type="dxa" w:w="2888"/>
          </w:tcPr>
          <w:p>
            <w:pPr>
              <w:keepNext/>
              <w:spacing w:before="0" w:after="0" w:line="240" w:lineRule="auto"/>
              <w:jc w:val="left"/>
            </w:pPr>
            <w:r>
              <w:rPr>
                <w:rFonts w:ascii="Consolas" w:hAnsi="Consolas" w:cs="Consolas"/>
                <w:sz w:val="18"/>
              </w:rPr>
              <w:t>STATUS_BLINDPOS</w:t>
            </w:r>
          </w:p>
        </w:tc>
        <w:tc>
          <w:tcPr>
            <w:tcW w:type="dxa" w:w="6137"/>
          </w:tcPr>
          <w:p>
            <w:pPr>
              <w:keepNext/>
              <w:spacing w:before="0" w:after="0" w:line="240" w:lineRule="auto"/>
              <w:jc w:val="left"/>
            </w:pPr>
            <w:r>
              <w:rPr>
                <w:sz w:val="18"/>
              </w:rPr>
              <w:t>Clinic-positive sample coded as negative during presentation, to reduce handler cues. False does not mean diagnostic-negative.</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STATUS_KNOWNPOS</w:t>
            </w:r>
          </w:p>
        </w:tc>
        <w:tc>
          <w:tcPr>
            <w:tcW w:type="dxa" w:w="6137"/>
            <w:shd w:val="clear" w:color="auto" w:fill="FFF4EE"/>
          </w:tcPr>
          <w:p>
            <w:pPr>
              <w:keepNext/>
              <w:spacing w:before="0" w:after="0" w:line="240" w:lineRule="auto"/>
              <w:jc w:val="left"/>
            </w:pPr>
            <w:r>
              <w:rPr>
                <w:sz w:val="18"/>
              </w:rPr>
              <w:t>Sample presented as a known positive (control). Presentation context, not a final diagnosis.</w:t>
            </w:r>
          </w:p>
        </w:tc>
      </w:tr>
      <w:tr>
        <w:trPr>
          <w:cantSplit/>
        </w:trPr>
        <w:tc>
          <w:tcPr>
            <w:tcW w:type="dxa" w:w="2888"/>
          </w:tcPr>
          <w:p>
            <w:pPr>
              <w:keepNext/>
              <w:spacing w:before="0" w:after="0" w:line="240" w:lineRule="auto"/>
              <w:jc w:val="left"/>
            </w:pPr>
            <w:r>
              <w:rPr>
                <w:rFonts w:ascii="Consolas" w:hAnsi="Consolas" w:cs="Consolas"/>
                <w:sz w:val="18"/>
              </w:rPr>
              <w:t>tblEVALUATION_SniffThreshold</w:t>
            </w:r>
          </w:p>
        </w:tc>
        <w:tc>
          <w:tcPr>
            <w:tcW w:type="dxa" w:w="6137"/>
          </w:tcPr>
          <w:p>
            <w:pPr>
              <w:keepNext/>
              <w:spacing w:before="0" w:after="0" w:line="240" w:lineRule="auto"/>
              <w:jc w:val="left"/>
            </w:pPr>
            <w:r>
              <w:rPr>
                <w:b/>
                <w:sz w:val="18"/>
              </w:rPr>
              <w:t>The threshold that drives HIT.</w:t>
            </w:r>
            <w:r>
              <w:rPr>
                <w:sz w:val="18"/>
              </w:rPr>
              <w:t xml:space="preserve"> Sniff-time threshold (ms) set for the evaluation: a sniff at or above it is recorded as an indication. Can vary within a session; zero means no threshold set.</w:t>
            </w:r>
          </w:p>
        </w:tc>
      </w:tr>
      <w:tr>
        <w:trPr>
          <w:cantSplit/>
        </w:trPr>
        <w:tc>
          <w:tcPr>
            <w:tcW w:type="dxa" w:w="2888"/>
            <w:shd w:val="clear" w:color="auto" w:fill="FFF4EE"/>
          </w:tcPr>
          <w:p>
            <w:pPr>
              <w:spacing w:before="0" w:after="0" w:line="240" w:lineRule="auto"/>
              <w:jc w:val="left"/>
            </w:pPr>
            <w:r>
              <w:rPr>
                <w:rFonts w:ascii="Consolas" w:hAnsi="Consolas" w:cs="Consolas"/>
                <w:sz w:val="18"/>
              </w:rPr>
              <w:t>tblRAT_SESSION_SniffThreshold</w:t>
            </w:r>
          </w:p>
        </w:tc>
        <w:tc>
          <w:tcPr>
            <w:tcW w:type="dxa" w:w="6137"/>
            <w:shd w:val="clear" w:color="auto" w:fill="FFF4EE"/>
          </w:tcPr>
          <w:p>
            <w:pPr>
              <w:spacing w:before="0" w:after="0" w:line="240" w:lineRule="auto"/>
              <w:jc w:val="left"/>
            </w:pPr>
            <w:r>
              <w:rPr>
                <w:sz w:val="18"/>
              </w:rPr>
              <w:t xml:space="preserve">General indication of the rat's threshold for that session (1,800 or 2,000 ms when filled). Not used to decide </w:t>
            </w:r>
            <w:r>
              <w:rPr>
                <w:rFonts w:ascii="Consolas" w:hAnsi="Consolas" w:cs="Consolas"/>
                <w:sz w:val="18"/>
              </w:rPr>
              <w:t>HIT</w:t>
            </w:r>
            <w:r>
              <w:rPr>
                <w:sz w:val="18"/>
              </w:rPr>
              <w:t>.</w:t>
            </w:r>
          </w:p>
        </w:tc>
      </w:tr>
    </w:tbl>
    <w:p>
      <w:pPr>
        <w:spacing w:after="60"/>
      </w:pPr>
    </w:p>
    <w:p>
      <w:pPr>
        <w:pStyle w:val="Heading2"/>
        <w:ind w:left="567" w:hanging="567"/>
        <w:spacing w:before="240" w:after="80"/>
      </w:pPr>
      <w:r>
        <w:rPr/>
        <w:t>Which threshold drives HIT?</w:t>
      </w:r>
    </w:p>
    <w:p>
      <w:pPr>
        <w:spacing w:after="120" w:line="264" w:lineRule="auto"/>
        <w:jc w:val="both"/>
      </w:pPr>
      <w:r>
        <w:rPr/>
        <w:t>The export has two threshold columns, but only one of them is used to record the rat's indication:</w:t>
      </w:r>
    </w:p>
    <w:p>
      <w:pPr>
        <w:pStyle w:val="ListParagraph"/>
        <w:numPr>
          <w:ilvl w:val="0"/>
          <w:numId w:val="19"/>
        </w:numPr>
        <w:spacing w:after="60" w:line="252" w:lineRule="auto"/>
      </w:pPr>
      <w:r>
        <w:rPr>
          <w:rFonts w:ascii="Consolas" w:hAnsi="Consolas" w:cs="Consolas"/>
          <w:sz w:val="18"/>
        </w:rPr>
        <w:t>tblEVALUATION_SniffThreshold</w:t>
      </w:r>
      <w:r>
        <w:rPr/>
        <w:t xml:space="preserve"> </w:t>
      </w:r>
      <w:r>
        <w:rPr>
          <w:b/>
        </w:rPr>
        <w:t>is the operational threshold.</w:t>
      </w:r>
      <w:r>
        <w:rPr/>
        <w:t xml:space="preserve"> When it is filled with a positive value, the recorded </w:t>
      </w:r>
      <w:r>
        <w:rPr>
          <w:rFonts w:ascii="Consolas" w:hAnsi="Consolas" w:cs="Consolas"/>
          <w:sz w:val="18"/>
        </w:rPr>
        <w:t>HIT</w:t>
      </w:r>
      <w:r>
        <w:rPr/>
        <w:t xml:space="preserve"> follows it.</w:t>
      </w:r>
    </w:p>
    <w:p>
      <w:pPr>
        <w:pStyle w:val="ListParagraph"/>
        <w:numPr>
          <w:ilvl w:val="0"/>
          <w:numId w:val="19"/>
        </w:numPr>
        <w:spacing w:after="160" w:line="252" w:lineRule="auto"/>
      </w:pPr>
      <w:r>
        <w:rPr>
          <w:rFonts w:ascii="Consolas" w:hAnsi="Consolas" w:cs="Consolas"/>
          <w:sz w:val="18"/>
        </w:rPr>
        <w:t>tblRAT_SESSION_SniffThreshold</w:t>
      </w:r>
      <w:r>
        <w:rPr/>
        <w:t xml:space="preserve"> </w:t>
      </w:r>
      <w:r>
        <w:rPr>
          <w:b/>
        </w:rPr>
        <w:t>is a general indication</w:t>
      </w:r>
      <w:r>
        <w:rPr/>
        <w:t xml:space="preserve"> of the rat's level for that session. It is context, not the rule that decided </w:t>
      </w:r>
      <w:r>
        <w:rPr>
          <w:rFonts w:ascii="Consolas" w:hAnsi="Consolas" w:cs="Consolas"/>
          <w:sz w:val="18"/>
        </w:rPr>
        <w:t>HIT</w:t>
      </w:r>
      <w:r>
        <w:rPr/>
        <w:t>.</w:t>
      </w:r>
    </w:p>
    <w:p>
      <w:pPr>
        <w:spacing w:after="120" w:line="264" w:lineRule="auto"/>
        <w:jc w:val="both"/>
      </w:pPr>
      <w:r>
        <w:rPr/>
        <w:t xml:space="preserve">The data shows this clearly. In the 2,092 observations where the two thresholds would lead to a different decision, the recorded </w:t>
      </w:r>
      <w:r>
        <w:rPr>
          <w:rFonts w:ascii="Consolas" w:hAnsi="Consolas" w:cs="Consolas"/>
          <w:sz w:val="18"/>
        </w:rPr>
        <w:t>HIT</w:t>
      </w:r>
      <w:r>
        <w:rPr/>
        <w:t xml:space="preserve"> matches the evaluation threshold in </w:t>
      </w:r>
      <w:r>
        <w:rPr>
          <w:b/>
        </w:rPr>
        <w:t>96.9%</w:t>
      </w:r>
      <w:r>
        <w:rPr/>
        <w:t xml:space="preserve"> of cases and the rat-session threshold in only </w:t>
      </w:r>
      <w:r>
        <w:rPr>
          <w:b/>
        </w:rPr>
        <w:t>3.1%</w:t>
      </w:r>
      <w:r>
        <w:rPr/>
        <w:t>.</w:t>
      </w:r>
    </w:p>
    <w:p>
      <w:pPr>
        <w:pBdr>
          <w:left w:val="single" w:sz="24" w:space="8" w:color="FC5B00"/>
        </w:pBdr>
        <w:shd w:val="clear" w:color="auto" w:fill="FFE9DC"/>
        <w:ind w:left="227" w:right="113"/>
        <w:spacing w:before="60" w:after="200" w:line="264" w:lineRule="auto"/>
      </w:pPr>
      <w:r>
        <w:rPr>
          <w:b/>
          <w:color w:val="FC5B00"/>
        </w:rPr>
        <w:t xml:space="preserve">In practice  </w:t>
      </w:r>
      <w:r>
        <w:rPr/>
        <w:t xml:space="preserve">Use </w:t>
      </w:r>
      <w:r>
        <w:rPr>
          <w:rFonts w:ascii="Consolas" w:hAnsi="Consolas" w:cs="Consolas"/>
          <w:sz w:val="18"/>
        </w:rPr>
        <w:t>tblEVALUATION_SniffThreshold</w:t>
      </w:r>
      <w:r>
        <w:rPr/>
        <w:t xml:space="preserve"> when you reconstruct or simulate HIT decisions, and treat </w:t>
      </w:r>
      <w:r>
        <w:rPr>
          <w:rFonts w:ascii="Consolas" w:hAnsi="Consolas" w:cs="Consolas"/>
          <w:sz w:val="18"/>
        </w:rPr>
        <w:t>tblRAT_SESSION_SniffThreshold</w:t>
      </w:r>
      <w:r>
        <w:rPr/>
        <w:t xml:space="preserve"> as background. This is about the recorded </w:t>
      </w:r>
      <w:r>
        <w:rPr>
          <w:rFonts w:ascii="Consolas" w:hAnsi="Consolas" w:cs="Consolas"/>
          <w:sz w:val="18"/>
        </w:rPr>
        <w:t>HIT</w:t>
      </w:r>
      <w:r>
        <w:rPr/>
        <w:t xml:space="preserve"> in the data, not about a fixed rule such as "≥ 2 seconds" that a previous analysis used for its own predictions.</w:t>
      </w:r>
    </w:p>
    <w:p>
      <w:pPr>
        <w:keepNext/>
        <w:pStyle w:val="Heading2"/>
        <w:ind w:left="567" w:hanging="567"/>
        <w:spacing w:before="240" w:after="80"/>
      </w:pPr>
      <w:r>
        <w:rPr/>
        <w:t>Sessions, setup and people</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2888"/>
        <w:gridCol w:w="6137"/>
      </w:tblGrid>
      <w:tr>
        <w:trPr>
          <w:tblHeader/>
          <w:cantSplit/>
        </w:trPr>
        <w:tc>
          <w:tcPr>
            <w:tcW w:type="dxa" w:w="2888"/>
            <w:shd w:val="clear" w:color="auto" w:fill="FC5B00"/>
          </w:tcPr>
          <w:p>
            <w:pPr>
              <w:keepNext/>
              <w:spacing w:before="0" w:after="0" w:line="240" w:lineRule="auto"/>
              <w:jc w:val="left"/>
            </w:pPr>
            <w:r>
              <w:rPr>
                <w:b/>
                <w:color w:val="FFFFFF"/>
                <w:sz w:val="18"/>
              </w:rPr>
              <w:t>Column</w:t>
            </w:r>
          </w:p>
        </w:tc>
        <w:tc>
          <w:tcPr>
            <w:tcW w:type="dxa" w:w="6137"/>
            <w:shd w:val="clear" w:color="auto" w:fill="FC5B00"/>
          </w:tcPr>
          <w:p>
            <w:pPr>
              <w:keepNext/>
              <w:spacing w:before="0" w:after="0" w:line="240" w:lineRule="auto"/>
              <w:jc w:val="left"/>
            </w:pPr>
            <w:r>
              <w:rPr>
                <w:b/>
                <w:color w:val="FFFFFF"/>
                <w:sz w:val="18"/>
              </w:rPr>
              <w:t>Meaning and caution</w:t>
            </w:r>
          </w:p>
        </w:tc>
      </w:tr>
      <w:tr>
        <w:trPr>
          <w:cantSplit/>
        </w:trPr>
        <w:tc>
          <w:tcPr>
            <w:tcW w:type="dxa" w:w="2888"/>
          </w:tcPr>
          <w:p>
            <w:pPr>
              <w:keepNext/>
              <w:spacing w:before="0" w:after="0" w:line="240" w:lineRule="auto"/>
              <w:jc w:val="left"/>
            </w:pPr>
            <w:r>
              <w:rPr>
                <w:rFonts w:ascii="Consolas" w:hAnsi="Consolas" w:cs="Consolas"/>
                <w:sz w:val="18"/>
              </w:rPr>
              <w:t>SESSION_DATE</w:t>
            </w:r>
          </w:p>
        </w:tc>
        <w:tc>
          <w:tcPr>
            <w:tcW w:type="dxa" w:w="6137"/>
          </w:tcPr>
          <w:p>
            <w:pPr>
              <w:keepNext/>
              <w:spacing w:before="0" w:after="0" w:line="240" w:lineRule="auto"/>
              <w:jc w:val="left"/>
            </w:pPr>
            <w:r>
              <w:rPr>
                <w:sz w:val="18"/>
              </w:rPr>
              <w:t>Date of the rat evaluation, stored as an Excel day serial.</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ID_EVALUATION_SESSION</w:t>
            </w:r>
          </w:p>
        </w:tc>
        <w:tc>
          <w:tcPr>
            <w:tcW w:type="dxa" w:w="6137"/>
            <w:shd w:val="clear" w:color="auto" w:fill="FFF4EE"/>
          </w:tcPr>
          <w:p>
            <w:pPr>
              <w:keepNext/>
              <w:spacing w:before="0" w:after="0" w:line="240" w:lineRule="auto"/>
              <w:jc w:val="left"/>
            </w:pPr>
            <w:r>
              <w:rPr>
                <w:sz w:val="18"/>
              </w:rPr>
              <w:t>Evaluation-session identifier; many rows and rats can share it.</w:t>
            </w:r>
          </w:p>
        </w:tc>
      </w:tr>
      <w:tr>
        <w:trPr>
          <w:cantSplit/>
        </w:trPr>
        <w:tc>
          <w:tcPr>
            <w:tcW w:type="dxa" w:w="2888"/>
          </w:tcPr>
          <w:p>
            <w:pPr>
              <w:keepNext/>
              <w:spacing w:before="0" w:after="0" w:line="240" w:lineRule="auto"/>
              <w:jc w:val="left"/>
            </w:pPr>
            <w:r>
              <w:rPr>
                <w:rFonts w:ascii="Consolas" w:hAnsi="Consolas" w:cs="Consolas"/>
                <w:sz w:val="18"/>
              </w:rPr>
              <w:t>CONFIGURATION_NAME</w:t>
            </w:r>
          </w:p>
        </w:tc>
        <w:tc>
          <w:tcPr>
            <w:tcW w:type="dxa" w:w="6137"/>
          </w:tcPr>
          <w:p>
            <w:pPr>
              <w:keepNext/>
              <w:spacing w:before="0" w:after="0" w:line="240" w:lineRule="auto"/>
              <w:jc w:val="left"/>
            </w:pPr>
            <w:r>
              <w:rPr>
                <w:sz w:val="18"/>
              </w:rPr>
              <w:t xml:space="preserve">Setup label, e.g. </w:t>
            </w:r>
            <w:r>
              <w:rPr>
                <w:rFonts w:ascii="Consolas" w:hAnsi="Consolas" w:cs="Consolas"/>
                <w:sz w:val="18"/>
              </w:rPr>
              <w:t>Line E-3H</w:t>
            </w:r>
            <w:r>
              <w:rPr>
                <w:sz w:val="18"/>
              </w:rPr>
              <w:t xml:space="preserve"> or </w:t>
            </w:r>
            <w:r>
              <w:rPr>
                <w:rFonts w:ascii="Consolas" w:hAnsi="Consolas" w:cs="Consolas"/>
                <w:sz w:val="18"/>
              </w:rPr>
              <w:t>Line C</w:t>
            </w:r>
            <w:r>
              <w:rPr>
                <w:sz w:val="18"/>
              </w:rPr>
              <w:t>.</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ID_CONFIGURATION</w:t>
            </w:r>
          </w:p>
        </w:tc>
        <w:tc>
          <w:tcPr>
            <w:tcW w:type="dxa" w:w="6137"/>
            <w:shd w:val="clear" w:color="auto" w:fill="FFF4EE"/>
          </w:tcPr>
          <w:p>
            <w:pPr>
              <w:keepNext/>
              <w:spacing w:before="0" w:after="0" w:line="240" w:lineRule="auto"/>
              <w:jc w:val="left"/>
            </w:pPr>
            <w:r>
              <w:rPr>
                <w:sz w:val="18"/>
              </w:rPr>
              <w:t>Numeric identifier of that setup; one-to-one with the name.</w:t>
            </w:r>
          </w:p>
        </w:tc>
      </w:tr>
      <w:tr>
        <w:trPr>
          <w:cantSplit/>
        </w:trPr>
        <w:tc>
          <w:tcPr>
            <w:tcW w:type="dxa" w:w="2888"/>
          </w:tcPr>
          <w:p>
            <w:pPr>
              <w:keepNext/>
              <w:spacing w:before="0" w:after="0" w:line="240" w:lineRule="auto"/>
              <w:jc w:val="left"/>
            </w:pPr>
            <w:r>
              <w:rPr>
                <w:rFonts w:ascii="Consolas" w:hAnsi="Consolas" w:cs="Consolas"/>
                <w:sz w:val="18"/>
              </w:rPr>
              <w:t>TEMPERATURE</w:t>
            </w:r>
          </w:p>
        </w:tc>
        <w:tc>
          <w:tcPr>
            <w:tcW w:type="dxa" w:w="6137"/>
          </w:tcPr>
          <w:p>
            <w:pPr>
              <w:keepNext/>
              <w:spacing w:before="0" w:after="0" w:line="240" w:lineRule="auto"/>
              <w:jc w:val="left"/>
            </w:pPr>
            <w:r>
              <w:rPr>
                <w:sz w:val="18"/>
              </w:rPr>
              <w:t>Room temperature in °C. Investigate zero values rather than treating them as real temperatures.</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START_TIME</w:t>
            </w:r>
          </w:p>
        </w:tc>
        <w:tc>
          <w:tcPr>
            <w:tcW w:type="dxa" w:w="6137"/>
            <w:shd w:val="clear" w:color="auto" w:fill="FFF4EE"/>
          </w:tcPr>
          <w:p>
            <w:pPr>
              <w:keepNext/>
              <w:spacing w:before="0" w:after="0" w:line="240" w:lineRule="auto"/>
              <w:jc w:val="left"/>
            </w:pPr>
            <w:r>
              <w:rPr>
                <w:sz w:val="18"/>
              </w:rPr>
              <w:t>Evaluation start time (Excel day serial with time fraction); not an individual sniff timestamp.</w:t>
            </w:r>
          </w:p>
        </w:tc>
      </w:tr>
      <w:tr>
        <w:trPr>
          <w:cantSplit/>
        </w:trPr>
        <w:tc>
          <w:tcPr>
            <w:tcW w:type="dxa" w:w="2888"/>
          </w:tcPr>
          <w:p>
            <w:pPr>
              <w:keepNext/>
              <w:spacing w:before="0" w:after="0" w:line="240" w:lineRule="auto"/>
              <w:jc w:val="left"/>
            </w:pPr>
            <w:r>
              <w:rPr>
                <w:rFonts w:ascii="Consolas" w:hAnsi="Consolas" w:cs="Consolas"/>
                <w:sz w:val="18"/>
              </w:rPr>
              <w:t>END_TIME</w:t>
            </w:r>
          </w:p>
        </w:tc>
        <w:tc>
          <w:tcPr>
            <w:tcW w:type="dxa" w:w="6137"/>
          </w:tcPr>
          <w:p>
            <w:pPr>
              <w:keepNext/>
              <w:spacing w:before="0" w:after="0" w:line="240" w:lineRule="auto"/>
              <w:jc w:val="left"/>
            </w:pPr>
            <w:r>
              <w:rPr>
                <w:sz w:val="18"/>
              </w:rPr>
              <w:t>Evaluation end time, same format. Elapsed time includes more than sniffing.</w:t>
            </w:r>
          </w:p>
        </w:tc>
      </w:tr>
      <w:tr>
        <w:trPr>
          <w:cantSplit/>
        </w:trPr>
        <w:tc>
          <w:tcPr>
            <w:tcW w:type="dxa" w:w="2888"/>
            <w:shd w:val="clear" w:color="auto" w:fill="FFF4EE"/>
          </w:tcPr>
          <w:p>
            <w:pPr>
              <w:keepNext/>
              <w:spacing w:before="0" w:after="0" w:line="240" w:lineRule="auto"/>
              <w:jc w:val="left"/>
            </w:pPr>
            <w:r>
              <w:rPr>
                <w:rFonts w:ascii="Consolas" w:hAnsi="Consolas" w:cs="Consolas"/>
                <w:sz w:val="18"/>
              </w:rPr>
              <w:t>tblRAT_SESSION_REMARKS</w:t>
            </w:r>
          </w:p>
        </w:tc>
        <w:tc>
          <w:tcPr>
            <w:tcW w:type="dxa" w:w="6137"/>
            <w:shd w:val="clear" w:color="auto" w:fill="FFF4EE"/>
          </w:tcPr>
          <w:p>
            <w:pPr>
              <w:keepNext/>
              <w:spacing w:before="0" w:after="0" w:line="240" w:lineRule="auto"/>
              <w:jc w:val="left"/>
            </w:pPr>
            <w:r>
              <w:rPr>
                <w:sz w:val="18"/>
              </w:rPr>
              <w:t>Comments on a rat's session; useful to explain unusual behaviour or recording issues.</w:t>
            </w:r>
          </w:p>
        </w:tc>
      </w:tr>
      <w:tr>
        <w:trPr>
          <w:cantSplit/>
        </w:trPr>
        <w:tc>
          <w:tcPr>
            <w:tcW w:type="dxa" w:w="2888"/>
          </w:tcPr>
          <w:p>
            <w:pPr>
              <w:keepNext/>
              <w:spacing w:before="0" w:after="0" w:line="240" w:lineRule="auto"/>
              <w:jc w:val="left"/>
            </w:pPr>
            <w:r>
              <w:rPr>
                <w:rFonts w:ascii="Consolas" w:hAnsi="Consolas" w:cs="Consolas"/>
                <w:sz w:val="18"/>
              </w:rPr>
              <w:t>tblEVALUATION_SESSION_REMARKS</w:t>
            </w:r>
          </w:p>
        </w:tc>
        <w:tc>
          <w:tcPr>
            <w:tcW w:type="dxa" w:w="6137"/>
          </w:tcPr>
          <w:p>
            <w:pPr>
              <w:keepNext/>
              <w:spacing w:before="0" w:after="0" w:line="240" w:lineRule="auto"/>
              <w:jc w:val="left"/>
            </w:pPr>
            <w:r>
              <w:rPr>
                <w:sz w:val="18"/>
              </w:rPr>
              <w:t>Evaluation-session comments; context that may repeat across rows.</w:t>
            </w:r>
          </w:p>
        </w:tc>
      </w:tr>
      <w:tr>
        <w:trPr>
          <w:cantSplit/>
        </w:trPr>
        <w:tc>
          <w:tcPr>
            <w:tcW w:type="dxa" w:w="2888"/>
            <w:shd w:val="clear" w:color="auto" w:fill="FFF4EE"/>
          </w:tcPr>
          <w:p>
            <w:pPr>
              <w:spacing w:before="0" w:after="0" w:line="240" w:lineRule="auto"/>
              <w:jc w:val="left"/>
            </w:pPr>
            <w:r>
              <w:rPr>
                <w:rFonts w:ascii="Consolas" w:hAnsi="Consolas" w:cs="Consolas"/>
                <w:sz w:val="18"/>
              </w:rPr>
              <w:t>Trainer</w:t>
            </w:r>
            <w:r>
              <w:rPr>
                <w:sz w:val="18"/>
              </w:rPr>
              <w:t xml:space="preserve">, </w:t>
            </w:r>
            <w:r>
              <w:rPr>
                <w:rFonts w:ascii="Consolas" w:hAnsi="Consolas" w:cs="Consolas"/>
                <w:sz w:val="18"/>
              </w:rPr>
              <w:t>Documenter</w:t>
            </w:r>
            <w:r>
              <w:rPr>
                <w:sz w:val="18"/>
              </w:rPr>
              <w:t xml:space="preserve">, </w:t>
            </w:r>
            <w:r>
              <w:rPr>
                <w:rFonts w:ascii="Consolas" w:hAnsi="Consolas" w:cs="Consolas"/>
                <w:sz w:val="18"/>
              </w:rPr>
              <w:t>Handler</w:t>
            </w:r>
          </w:p>
        </w:tc>
        <w:tc>
          <w:tcPr>
            <w:tcW w:type="dxa" w:w="6137"/>
            <w:shd w:val="clear" w:color="auto" w:fill="FFF4EE"/>
          </w:tcPr>
          <w:p>
            <w:pPr>
              <w:spacing w:before="0" w:after="0" w:line="240" w:lineRule="auto"/>
              <w:jc w:val="left"/>
            </w:pPr>
            <w:r>
              <w:rPr>
                <w:sz w:val="18"/>
              </w:rPr>
              <w:t>Person conducting, recording, and delivering rewards. Almost entirely missing in this export.</w:t>
            </w:r>
          </w:p>
        </w:tc>
      </w:tr>
    </w:tbl>
    <w:p>
      <w:pPr>
        <w:spacing w:after="60"/>
      </w:pPr>
    </w:p>
    <w:p>
      <w:pPr>
        <w:pStyle w:val="Heading2"/>
        <w:ind w:left="567" w:hanging="567"/>
        <w:spacing w:before="240" w:after="80"/>
      </w:pPr>
      <w:r>
        <w:rPr/>
        <w:t>Bacterial-level codes</w:t>
      </w:r>
    </w:p>
    <w:p>
      <w:pPr>
        <w:keepNext/>
        <w:spacing w:after="120" w:line="264" w:lineRule="auto"/>
        <w:jc w:val="both"/>
      </w:pPr>
      <w:r>
        <w:rPr/>
        <w:t>Diagnostic codes are categories, not measured concentrations.</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1805"/>
        <w:gridCol w:w="4513"/>
        <w:gridCol w:w="2707"/>
      </w:tblGrid>
      <w:tr>
        <w:trPr>
          <w:tblHeader/>
          <w:cantSplit/>
        </w:trPr>
        <w:tc>
          <w:tcPr>
            <w:tcW w:type="dxa" w:w="1805"/>
            <w:shd w:val="clear" w:color="auto" w:fill="FC5B00"/>
          </w:tcPr>
          <w:p>
            <w:pPr>
              <w:keepNext/>
              <w:spacing w:before="0" w:after="0" w:line="240" w:lineRule="auto"/>
              <w:jc w:val="left"/>
            </w:pPr>
            <w:r>
              <w:rPr>
                <w:b/>
                <w:color w:val="FFFFFF"/>
                <w:sz w:val="18"/>
              </w:rPr>
              <w:t>Code</w:t>
            </w:r>
          </w:p>
        </w:tc>
        <w:tc>
          <w:tcPr>
            <w:tcW w:type="dxa" w:w="4513"/>
            <w:shd w:val="clear" w:color="auto" w:fill="FC5B00"/>
          </w:tcPr>
          <w:p>
            <w:pPr>
              <w:keepNext/>
              <w:spacing w:before="0" w:after="0" w:line="240" w:lineRule="auto"/>
              <w:jc w:val="left"/>
            </w:pPr>
            <w:r>
              <w:rPr>
                <w:b/>
                <w:color w:val="FFFFFF"/>
                <w:sz w:val="18"/>
              </w:rPr>
              <w:t>Meaning</w:t>
            </w:r>
          </w:p>
        </w:tc>
        <w:tc>
          <w:tcPr>
            <w:tcW w:type="dxa" w:w="2707"/>
            <w:shd w:val="clear" w:color="auto" w:fill="FC5B00"/>
          </w:tcPr>
          <w:p>
            <w:pPr>
              <w:keepNext/>
              <w:spacing w:before="0" w:after="0" w:line="240" w:lineRule="auto"/>
              <w:jc w:val="left"/>
            </w:pPr>
            <w:r>
              <w:rPr>
                <w:b/>
                <w:color w:val="FFFFFF"/>
                <w:sz w:val="18"/>
              </w:rPr>
              <w:t>Label</w:t>
            </w:r>
          </w:p>
        </w:tc>
      </w:tr>
      <w:tr>
        <w:trPr>
          <w:cantSplit/>
        </w:trPr>
        <w:tc>
          <w:tcPr>
            <w:tcW w:type="dxa" w:w="1805"/>
          </w:tcPr>
          <w:p>
            <w:pPr>
              <w:keepNext/>
              <w:spacing w:before="0" w:after="0" w:line="240" w:lineRule="auto"/>
              <w:jc w:val="left"/>
            </w:pPr>
            <w:r>
              <w:rPr>
                <w:sz w:val="18"/>
              </w:rPr>
              <w:t>0</w:t>
            </w:r>
          </w:p>
        </w:tc>
        <w:tc>
          <w:tcPr>
            <w:tcW w:type="dxa" w:w="4513"/>
          </w:tcPr>
          <w:p>
            <w:pPr>
              <w:keepNext/>
              <w:spacing w:before="0" w:after="0" w:line="240" w:lineRule="auto"/>
              <w:jc w:val="left"/>
            </w:pPr>
            <w:r>
              <w:rPr>
                <w:sz w:val="18"/>
              </w:rPr>
              <w:t>Unknown bacterial level</w:t>
            </w:r>
          </w:p>
        </w:tc>
        <w:tc>
          <w:tcPr>
            <w:tcW w:type="dxa" w:w="2707"/>
          </w:tcPr>
          <w:p>
            <w:pPr>
              <w:keepNext/>
              <w:spacing w:before="0" w:after="0" w:line="240" w:lineRule="auto"/>
              <w:jc w:val="left"/>
            </w:pPr>
            <w:r>
              <w:rPr>
                <w:sz w:val="18"/>
              </w:rPr>
              <w:t>UBL</w:t>
            </w:r>
          </w:p>
        </w:tc>
      </w:tr>
      <w:tr>
        <w:trPr>
          <w:cantSplit/>
        </w:trPr>
        <w:tc>
          <w:tcPr>
            <w:tcW w:type="dxa" w:w="1805"/>
            <w:shd w:val="clear" w:color="auto" w:fill="FFF4EE"/>
          </w:tcPr>
          <w:p>
            <w:pPr>
              <w:keepNext/>
              <w:spacing w:before="0" w:after="0" w:line="240" w:lineRule="auto"/>
              <w:jc w:val="left"/>
            </w:pPr>
            <w:r>
              <w:rPr>
                <w:sz w:val="18"/>
              </w:rPr>
              <w:t>1</w:t>
            </w:r>
          </w:p>
        </w:tc>
        <w:tc>
          <w:tcPr>
            <w:tcW w:type="dxa" w:w="4513"/>
            <w:shd w:val="clear" w:color="auto" w:fill="FFF4EE"/>
          </w:tcPr>
          <w:p>
            <w:pPr>
              <w:keepNext/>
              <w:spacing w:before="0" w:after="0" w:line="240" w:lineRule="auto"/>
              <w:jc w:val="left"/>
            </w:pPr>
            <w:r>
              <w:rPr>
                <w:sz w:val="18"/>
              </w:rPr>
              <w:t>Negative (microscopy or GeneXpert)</w:t>
            </w:r>
          </w:p>
        </w:tc>
        <w:tc>
          <w:tcPr>
            <w:tcW w:type="dxa" w:w="2707"/>
            <w:shd w:val="clear" w:color="auto" w:fill="FFF4EE"/>
          </w:tcPr>
          <w:p>
            <w:pPr>
              <w:keepNext/>
              <w:spacing w:before="0" w:after="0" w:line="240" w:lineRule="auto"/>
              <w:jc w:val="left"/>
            </w:pPr>
            <w:r>
              <w:rPr>
                <w:sz w:val="18"/>
              </w:rPr>
              <w:t>-</w:t>
            </w:r>
          </w:p>
        </w:tc>
      </w:tr>
      <w:tr>
        <w:trPr>
          <w:cantSplit/>
        </w:trPr>
        <w:tc>
          <w:tcPr>
            <w:tcW w:type="dxa" w:w="1805"/>
          </w:tcPr>
          <w:p>
            <w:pPr>
              <w:keepNext/>
              <w:spacing w:before="0" w:after="0" w:line="240" w:lineRule="auto"/>
              <w:jc w:val="left"/>
            </w:pPr>
            <w:r>
              <w:rPr>
                <w:sz w:val="18"/>
              </w:rPr>
              <w:t>2 – 10</w:t>
            </w:r>
          </w:p>
        </w:tc>
        <w:tc>
          <w:tcPr>
            <w:tcW w:type="dxa" w:w="4513"/>
          </w:tcPr>
          <w:p>
            <w:pPr>
              <w:keepNext/>
              <w:spacing w:before="0" w:after="0" w:line="240" w:lineRule="auto"/>
              <w:jc w:val="left"/>
            </w:pPr>
            <w:r>
              <w:rPr>
                <w:sz w:val="18"/>
              </w:rPr>
              <w:t>1 to 9 acid-fast bacilli (AFB)</w:t>
            </w:r>
          </w:p>
        </w:tc>
        <w:tc>
          <w:tcPr>
            <w:tcW w:type="dxa" w:w="2707"/>
          </w:tcPr>
          <w:p>
            <w:pPr>
              <w:keepNext/>
              <w:spacing w:before="0" w:after="0" w:line="240" w:lineRule="auto"/>
              <w:jc w:val="left"/>
            </w:pPr>
            <w:r>
              <w:rPr>
                <w:sz w:val="18"/>
              </w:rPr>
              <w:t>1AFB – 9AFB</w:t>
            </w:r>
          </w:p>
        </w:tc>
      </w:tr>
      <w:tr>
        <w:trPr>
          <w:cantSplit/>
        </w:trPr>
        <w:tc>
          <w:tcPr>
            <w:tcW w:type="dxa" w:w="1805"/>
            <w:shd w:val="clear" w:color="auto" w:fill="FFF4EE"/>
          </w:tcPr>
          <w:p>
            <w:pPr>
              <w:keepNext/>
              <w:spacing w:before="0" w:after="0" w:line="240" w:lineRule="auto"/>
              <w:jc w:val="left"/>
            </w:pPr>
            <w:r>
              <w:rPr>
                <w:sz w:val="18"/>
              </w:rPr>
              <w:t>11 / 12 / 13</w:t>
            </w:r>
          </w:p>
        </w:tc>
        <w:tc>
          <w:tcPr>
            <w:tcW w:type="dxa" w:w="4513"/>
            <w:shd w:val="clear" w:color="auto" w:fill="FFF4EE"/>
          </w:tcPr>
          <w:p>
            <w:pPr>
              <w:keepNext/>
              <w:spacing w:before="0" w:after="0" w:line="240" w:lineRule="auto"/>
              <w:jc w:val="left"/>
            </w:pPr>
            <w:r>
              <w:rPr>
                <w:sz w:val="18"/>
              </w:rPr>
              <w:t>Microscopy grade 1+ / 2+ / 3+</w:t>
            </w:r>
          </w:p>
        </w:tc>
        <w:tc>
          <w:tcPr>
            <w:tcW w:type="dxa" w:w="2707"/>
            <w:shd w:val="clear" w:color="auto" w:fill="FFF4EE"/>
          </w:tcPr>
          <w:p>
            <w:pPr>
              <w:keepNext/>
              <w:spacing w:before="0" w:after="0" w:line="240" w:lineRule="auto"/>
              <w:jc w:val="left"/>
            </w:pPr>
            <w:r>
              <w:rPr>
                <w:sz w:val="18"/>
              </w:rPr>
              <w:t>1+ / 2+ / 3+</w:t>
            </w:r>
          </w:p>
        </w:tc>
      </w:tr>
      <w:tr>
        <w:trPr>
          <w:cantSplit/>
        </w:trPr>
        <w:tc>
          <w:tcPr>
            <w:tcW w:type="dxa" w:w="1805"/>
          </w:tcPr>
          <w:p>
            <w:pPr>
              <w:spacing w:before="0" w:after="0" w:line="240" w:lineRule="auto"/>
              <w:jc w:val="left"/>
            </w:pPr>
            <w:r>
              <w:rPr>
                <w:sz w:val="18"/>
              </w:rPr>
              <w:t>15 – 24</w:t>
            </w:r>
          </w:p>
        </w:tc>
        <w:tc>
          <w:tcPr>
            <w:tcW w:type="dxa" w:w="4513"/>
          </w:tcPr>
          <w:p>
            <w:pPr>
              <w:spacing w:before="0" w:after="0" w:line="240" w:lineRule="auto"/>
              <w:jc w:val="left"/>
            </w:pPr>
            <w:r>
              <w:rPr>
                <w:sz w:val="18"/>
              </w:rPr>
              <w:t>10 to 19 acid-fast bacilli</w:t>
            </w:r>
          </w:p>
        </w:tc>
        <w:tc>
          <w:tcPr>
            <w:tcW w:type="dxa" w:w="2707"/>
          </w:tcPr>
          <w:p>
            <w:pPr>
              <w:spacing w:before="0" w:after="0" w:line="240" w:lineRule="auto"/>
              <w:jc w:val="left"/>
            </w:pPr>
            <w:r>
              <w:rPr>
                <w:sz w:val="18"/>
              </w:rPr>
              <w:t>10AFB – 19AFB</w:t>
            </w:r>
          </w:p>
        </w:tc>
      </w:tr>
    </w:tbl>
    <w:p>
      <w:pPr>
        <w:spacing w:after="60"/>
      </w:pPr>
    </w:p>
    <w:p>
      <w:pPr>
        <w:spacing w:after="120" w:line="264" w:lineRule="auto"/>
        <w:jc w:val="both"/>
      </w:pPr>
      <w:r>
        <w:rPr/>
        <w:t>Code 11 means grade 1+, not 11 bacilli. There is no code 14. Do not transfer microscopy counts to GeneXpert codes without a verified mapping.</w:t>
      </w:r>
    </w:p>
    <w:p>
      <w:pPr>
        <w:pStyle w:val="Heading1"/>
        <w:spacing w:before="360" w:after="120"/>
      </w:pPr>
      <w:r>
        <w:rPr/>
        <w:t>Choose the question and the diagnostic reference</w:t>
      </w:r>
    </w:p>
    <w:p>
      <w:pPr>
        <w:spacing w:after="120" w:line="264" w:lineRule="auto"/>
        <w:jc w:val="both"/>
      </w:pPr>
      <w:r>
        <w:rPr/>
        <w:t>A previous analysis of this data defined its label as:</w:t>
      </w:r>
    </w:p>
    <w:p>
      <w:pPr>
        <w:spacing w:before="0" w:after="160" w:line="240" w:lineRule="auto"/>
        <w:shd w:val="clear" w:color="auto" w:fill="F2F2F2"/>
        <w:ind w:left="284" w:right="284"/>
      </w:pPr>
      <w:r>
        <w:rPr>
          <w:rFonts w:ascii="Consolas" w:hAnsi="Consolas" w:cs="Consolas"/>
          <w:sz w:val="18"/>
        </w:rPr>
        <w:t>Observed_label = ID_BL_DOTS &gt; 1</w:t>
      </w:r>
    </w:p>
    <w:p>
      <w:pPr>
        <w:spacing w:after="120" w:line="264" w:lineRule="auto"/>
        <w:jc w:val="both"/>
      </w:pPr>
      <w:r>
        <w:rPr/>
        <w:t>This answers "does the rat or model agree with clinic microscopy?". It does not combine all available diagnostic evidence.</w:t>
      </w:r>
    </w:p>
    <w:p>
      <w:pPr>
        <w:pStyle w:val="ListParagraph"/>
        <w:numPr>
          <w:ilvl w:val="0"/>
          <w:numId w:val="19"/>
        </w:numPr>
        <w:spacing w:after="60" w:line="252" w:lineRule="auto"/>
      </w:pPr>
      <w:r>
        <w:rPr>
          <w:b/>
        </w:rPr>
        <w:t>Keep APOPO confirmation for additional-case analysis.</w:t>
      </w:r>
      <w:r>
        <w:rPr/>
        <w:t xml:space="preserve"> A clinic-negative sample with a positive APOPO confirmation and a rat indication may be a useful detection, even though a clinic-only label would score it as a false positive.</w:t>
      </w:r>
    </w:p>
    <w:p>
      <w:pPr>
        <w:pStyle w:val="ListParagraph"/>
        <w:numPr>
          <w:ilvl w:val="0"/>
          <w:numId w:val="19"/>
        </w:numPr>
        <w:spacing w:after="60" w:line="252" w:lineRule="auto"/>
      </w:pPr>
      <w:r>
        <w:rPr>
          <w:b/>
        </w:rPr>
        <w:t>Decide how disagreements are handled</w:t>
      </w:r>
      <w:r>
        <w:rPr/>
        <w:t xml:space="preserve"> between clinic microscopy and GeneXpert. Agree any combined diagnostic rule with APOPO, and keep unknown, untested and conflicting results explicit.</w:t>
      </w:r>
    </w:p>
    <w:p>
      <w:pPr>
        <w:pStyle w:val="ListParagraph"/>
        <w:numPr>
          <w:ilvl w:val="0"/>
          <w:numId w:val="19"/>
        </w:numPr>
        <w:spacing w:after="60" w:line="252" w:lineRule="auto"/>
      </w:pPr>
      <w:r>
        <w:rPr>
          <w:b/>
        </w:rPr>
        <w:t>APOPO confirmation is selective.</w:t>
      </w:r>
      <w:r>
        <w:rPr/>
        <w:t xml:space="preserve"> Do not treat untested samples as negative, and do not assume performance among tested samples represents all samples.</w:t>
      </w:r>
    </w:p>
    <w:p>
      <w:pPr>
        <w:pStyle w:val="ListParagraph"/>
        <w:numPr>
          <w:ilvl w:val="0"/>
          <w:numId w:val="19"/>
        </w:numPr>
        <w:spacing w:after="160" w:line="252" w:lineRule="auto"/>
      </w:pPr>
      <w:r>
        <w:rPr>
          <w:b/>
        </w:rPr>
        <w:t>Avoid circular logic.</w:t>
      </w:r>
      <w:r>
        <w:rPr/>
        <w:t xml:space="preserve"> Never define diagnostic truth using </w:t>
      </w:r>
      <w:r>
        <w:rPr>
          <w:rFonts w:ascii="Consolas" w:hAnsi="Consolas" w:cs="Consolas"/>
          <w:sz w:val="18"/>
        </w:rPr>
        <w:t>HIT</w:t>
      </w:r>
      <w:r>
        <w:rPr/>
        <w:t xml:space="preserve">, </w:t>
      </w:r>
      <w:r>
        <w:rPr>
          <w:rFonts w:ascii="Consolas" w:hAnsi="Consolas" w:cs="Consolas"/>
          <w:sz w:val="18"/>
        </w:rPr>
        <w:t>SniffTime</w:t>
      </w:r>
      <w:r>
        <w:rPr/>
        <w:t xml:space="preserve"> or </w:t>
      </w:r>
      <w:r>
        <w:rPr>
          <w:rFonts w:ascii="Consolas" w:hAnsi="Consolas" w:cs="Consolas"/>
          <w:sz w:val="18"/>
        </w:rPr>
        <w:t>REWARD</w:t>
      </w:r>
      <w:r>
        <w:rPr/>
        <w:t>.</w:t>
      </w:r>
    </w:p>
    <w:p>
      <w:pPr>
        <w:pStyle w:val="Heading2"/>
        <w:ind w:left="567" w:hanging="567"/>
        <w:spacing w:before="240" w:after="80"/>
      </w:pPr>
      <w:r>
        <w:rPr/>
        <w:t>Judging a rat</w:t>
      </w:r>
    </w:p>
    <w:p>
      <w:pPr>
        <w:keepNext/>
        <w:spacing w:after="120" w:line="264" w:lineRule="auto"/>
        <w:jc w:val="both"/>
      </w:pPr>
      <w:r>
        <w:rPr/>
        <w:t>Always report the reference you compare against, and the counts behind every percentage:</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3008"/>
        <w:gridCol w:w="3008"/>
        <w:gridCol w:w="3008"/>
      </w:tblGrid>
      <w:tr>
        <w:trPr>
          <w:tblHeader/>
          <w:cantSplit/>
        </w:trPr>
        <w:tc>
          <w:tcPr>
            <w:tcW w:type="dxa" w:w="3008"/>
            <w:shd w:val="clear" w:color="auto" w:fill="FC5B00"/>
          </w:tcPr>
          <w:p>
            <w:pPr>
              <w:keepNext/>
              <w:spacing w:before="0" w:after="0" w:line="240" w:lineRule="auto"/>
              <w:jc w:val="left"/>
            </w:pPr>
            <w:r>
              <w:rPr>
                <w:b/>
                <w:color w:val="FFFFFF"/>
                <w:sz w:val="18"/>
              </w:rPr>
              <w:t>Reference result</w:t>
            </w:r>
          </w:p>
        </w:tc>
        <w:tc>
          <w:tcPr>
            <w:tcW w:type="dxa" w:w="3008"/>
            <w:shd w:val="clear" w:color="auto" w:fill="FC5B00"/>
          </w:tcPr>
          <w:p>
            <w:pPr>
              <w:keepNext/>
              <w:spacing w:before="0" w:after="0" w:line="240" w:lineRule="auto"/>
              <w:jc w:val="left"/>
            </w:pPr>
            <w:r>
              <w:rPr>
                <w:b/>
                <w:color w:val="FFFFFF"/>
                <w:sz w:val="18"/>
              </w:rPr>
              <w:t>HIT = True</w:t>
            </w:r>
          </w:p>
        </w:tc>
        <w:tc>
          <w:tcPr>
            <w:tcW w:type="dxa" w:w="3008"/>
            <w:shd w:val="clear" w:color="auto" w:fill="FC5B00"/>
          </w:tcPr>
          <w:p>
            <w:pPr>
              <w:keepNext/>
              <w:spacing w:before="0" w:after="0" w:line="240" w:lineRule="auto"/>
              <w:jc w:val="left"/>
            </w:pPr>
            <w:r>
              <w:rPr>
                <w:b/>
                <w:color w:val="FFFFFF"/>
                <w:sz w:val="18"/>
              </w:rPr>
              <w:t>HIT = False</w:t>
            </w:r>
          </w:p>
        </w:tc>
      </w:tr>
      <w:tr>
        <w:trPr>
          <w:cantSplit/>
        </w:trPr>
        <w:tc>
          <w:tcPr>
            <w:tcW w:type="dxa" w:w="3008"/>
          </w:tcPr>
          <w:p>
            <w:pPr>
              <w:keepNext/>
              <w:spacing w:before="0" w:after="0" w:line="240" w:lineRule="auto"/>
              <w:jc w:val="left"/>
            </w:pPr>
            <w:r>
              <w:rPr>
                <w:b/>
                <w:sz w:val="18"/>
              </w:rPr>
              <w:t>Positive</w:t>
            </w:r>
          </w:p>
        </w:tc>
        <w:tc>
          <w:tcPr>
            <w:tcW w:type="dxa" w:w="3008"/>
          </w:tcPr>
          <w:p>
            <w:pPr>
              <w:keepNext/>
              <w:spacing w:before="0" w:after="0" w:line="240" w:lineRule="auto"/>
              <w:jc w:val="left"/>
            </w:pPr>
            <w:r>
              <w:rPr>
                <w:sz w:val="18"/>
              </w:rPr>
              <w:t>True positive (TP)</w:t>
            </w:r>
          </w:p>
        </w:tc>
        <w:tc>
          <w:tcPr>
            <w:tcW w:type="dxa" w:w="3008"/>
          </w:tcPr>
          <w:p>
            <w:pPr>
              <w:keepNext/>
              <w:spacing w:before="0" w:after="0" w:line="240" w:lineRule="auto"/>
              <w:jc w:val="left"/>
            </w:pPr>
            <w:r>
              <w:rPr>
                <w:sz w:val="18"/>
              </w:rPr>
              <w:t>False negative (FN)</w:t>
            </w:r>
          </w:p>
        </w:tc>
      </w:tr>
      <w:tr>
        <w:trPr>
          <w:cantSplit/>
        </w:trPr>
        <w:tc>
          <w:tcPr>
            <w:tcW w:type="dxa" w:w="3008"/>
            <w:shd w:val="clear" w:color="auto" w:fill="FFF4EE"/>
          </w:tcPr>
          <w:p>
            <w:pPr>
              <w:keepNext/>
              <w:spacing w:before="0" w:after="0" w:line="240" w:lineRule="auto"/>
              <w:jc w:val="left"/>
            </w:pPr>
            <w:r>
              <w:rPr>
                <w:b/>
                <w:sz w:val="18"/>
              </w:rPr>
              <w:t>Negative</w:t>
            </w:r>
          </w:p>
        </w:tc>
        <w:tc>
          <w:tcPr>
            <w:tcW w:type="dxa" w:w="3008"/>
            <w:shd w:val="clear" w:color="auto" w:fill="FFF4EE"/>
          </w:tcPr>
          <w:p>
            <w:pPr>
              <w:keepNext/>
              <w:spacing w:before="0" w:after="0" w:line="240" w:lineRule="auto"/>
              <w:jc w:val="left"/>
            </w:pPr>
            <w:r>
              <w:rPr>
                <w:sz w:val="18"/>
              </w:rPr>
              <w:t>False positive (FP)</w:t>
            </w:r>
          </w:p>
        </w:tc>
        <w:tc>
          <w:tcPr>
            <w:tcW w:type="dxa" w:w="3008"/>
            <w:shd w:val="clear" w:color="auto" w:fill="FFF4EE"/>
          </w:tcPr>
          <w:p>
            <w:pPr>
              <w:keepNext/>
              <w:spacing w:before="0" w:after="0" w:line="240" w:lineRule="auto"/>
              <w:jc w:val="left"/>
            </w:pPr>
            <w:r>
              <w:rPr>
                <w:sz w:val="18"/>
              </w:rPr>
              <w:t>True negative (TN)</w:t>
            </w:r>
          </w:p>
        </w:tc>
      </w:tr>
      <w:tr>
        <w:trPr>
          <w:cantSplit/>
        </w:trPr>
        <w:tc>
          <w:tcPr>
            <w:tcW w:type="dxa" w:w="3008"/>
          </w:tcPr>
          <w:p>
            <w:pPr>
              <w:spacing w:before="0" w:after="0" w:line="240" w:lineRule="auto"/>
              <w:jc w:val="left"/>
            </w:pPr>
            <w:r>
              <w:rPr>
                <w:b/>
                <w:sz w:val="18"/>
              </w:rPr>
              <w:t>Unknown / not tested</w:t>
            </w:r>
          </w:p>
        </w:tc>
        <w:tc>
          <w:tcPr>
            <w:tcW w:type="dxa" w:w="3008"/>
          </w:tcPr>
          <w:p>
            <w:pPr>
              <w:spacing w:before="0" w:after="0" w:line="240" w:lineRule="auto"/>
              <w:jc w:val="left"/>
            </w:pPr>
            <w:r>
              <w:rPr>
                <w:sz w:val="18"/>
              </w:rPr>
              <w:t>Cannot be classified</w:t>
            </w:r>
          </w:p>
        </w:tc>
        <w:tc>
          <w:tcPr>
            <w:tcW w:type="dxa" w:w="3008"/>
          </w:tcPr>
          <w:p>
            <w:pPr>
              <w:spacing w:before="0" w:after="0" w:line="240" w:lineRule="auto"/>
              <w:jc w:val="left"/>
            </w:pPr>
            <w:r>
              <w:rPr>
                <w:sz w:val="18"/>
              </w:rPr>
              <w:t>Cannot be classified</w:t>
            </w:r>
          </w:p>
        </w:tc>
      </w:tr>
    </w:tbl>
    <w:p>
      <w:pPr>
        <w:spacing w:after="60"/>
      </w:pPr>
    </w:p>
    <w:p>
      <w:pPr>
        <w:pStyle w:val="Heading2"/>
        <w:ind w:left="567" w:hanging="567"/>
        <w:spacing w:before="240" w:after="80"/>
      </w:pPr>
      <w:r>
        <w:rPr/>
        <w:t>How APOPO defines its diagnostic terms</w:t>
      </w:r>
    </w:p>
    <w:p>
      <w:pPr>
        <w:keepNext/>
        <w:spacing w:after="120" w:line="264" w:lineRule="auto"/>
        <w:jc w:val="both"/>
      </w:pPr>
      <w:r>
        <w:rPr/>
        <w:t>APOPO uses the following definitions. Several terms have more than one variant: always state which one you use.</w:t>
      </w:r>
    </w:p>
    <w:tbl>
      <w:tblPr>
        <w:tblW w:type="auto" w:w="0"/>
        <w:tblLook w:firstColumn="1" w:firstRow="1" w:lastColumn="0" w:lastRow="0" w:noHBand="0" w:noVBand="1" w:val="04A0"/>
        <w:tblBorders>
          <w:top w:val="single" w:sz="4" w:space="0" w:color="FC5B00"/>
          <w:left w:val="single" w:sz="4" w:space="0" w:color="FC5B00"/>
          <w:bottom w:val="single" w:sz="4" w:space="0" w:color="FC5B00"/>
          <w:right w:val="single" w:sz="4" w:space="0" w:color="FC5B00"/>
          <w:insideH w:val="single" w:sz="4" w:space="0" w:color="F4B183"/>
          <w:insideV w:val="single" w:sz="4" w:space="0" w:color="F4B183"/>
        </w:tblBorders>
        <w:tblW w:w="5000" w:type="pct"/>
        <w:tblCellMar>
          <w:top w:w="40" w:type="dxa"/>
          <w:bottom w:w="40" w:type="dxa"/>
          <w:left w:w="85" w:type="dxa"/>
          <w:right w:w="85" w:type="dxa"/>
        </w:tblCellMar>
      </w:tblPr>
      <w:tblGrid>
        <w:gridCol w:w="1624"/>
        <w:gridCol w:w="5054"/>
        <w:gridCol w:w="2346"/>
      </w:tblGrid>
      <w:tr>
        <w:trPr>
          <w:tblHeader/>
          <w:cantSplit/>
        </w:trPr>
        <w:tc>
          <w:tcPr>
            <w:tcW w:type="dxa" w:w="1624"/>
            <w:shd w:val="clear" w:color="auto" w:fill="FC5B00"/>
          </w:tcPr>
          <w:p>
            <w:pPr>
              <w:keepNext/>
              <w:spacing w:before="0" w:after="0" w:line="240" w:lineRule="auto"/>
              <w:jc w:val="left"/>
            </w:pPr>
            <w:r>
              <w:rPr>
                <w:b/>
                <w:color w:val="FFFFFF"/>
                <w:sz w:val="18"/>
              </w:rPr>
              <w:t>Term</w:t>
            </w:r>
          </w:p>
        </w:tc>
        <w:tc>
          <w:tcPr>
            <w:tcW w:type="dxa" w:w="5054"/>
            <w:shd w:val="clear" w:color="auto" w:fill="FC5B00"/>
          </w:tcPr>
          <w:p>
            <w:pPr>
              <w:keepNext/>
              <w:spacing w:before="0" w:after="0" w:line="240" w:lineRule="auto"/>
              <w:jc w:val="left"/>
            </w:pPr>
            <w:r>
              <w:rPr>
                <w:b/>
                <w:color w:val="FFFFFF"/>
                <w:sz w:val="18"/>
              </w:rPr>
              <w:t>Definition</w:t>
            </w:r>
          </w:p>
        </w:tc>
        <w:tc>
          <w:tcPr>
            <w:tcW w:type="dxa" w:w="2346"/>
            <w:shd w:val="clear" w:color="auto" w:fill="FC5B00"/>
          </w:tcPr>
          <w:p>
            <w:pPr>
              <w:keepNext/>
              <w:spacing w:before="0" w:after="0" w:line="240" w:lineRule="auto"/>
              <w:jc w:val="left"/>
            </w:pPr>
            <w:r>
              <w:rPr>
                <w:b/>
                <w:color w:val="FFFFFF"/>
                <w:sz w:val="18"/>
              </w:rPr>
              <w:t>Basic formula</w:t>
            </w:r>
          </w:p>
        </w:tc>
      </w:tr>
      <w:tr>
        <w:trPr>
          <w:cantSplit/>
        </w:trPr>
        <w:tc>
          <w:tcPr>
            <w:tcW w:type="dxa" w:w="1624"/>
          </w:tcPr>
          <w:p>
            <w:pPr>
              <w:keepNext/>
              <w:spacing w:before="0" w:after="0" w:line="240" w:lineRule="auto"/>
              <w:jc w:val="left"/>
            </w:pPr>
            <w:r>
              <w:rPr>
                <w:b/>
                <w:sz w:val="18"/>
              </w:rPr>
              <w:t>Sensitivity</w:t>
            </w:r>
          </w:p>
        </w:tc>
        <w:tc>
          <w:tcPr>
            <w:tcW w:type="dxa" w:w="5054"/>
          </w:tcPr>
          <w:p>
            <w:pPr>
              <w:keepNext/>
              <w:spacing w:before="0" w:after="0" w:line="240" w:lineRule="auto"/>
              <w:jc w:val="left"/>
            </w:pPr>
            <w:r>
              <w:rPr>
                <w:sz w:val="18"/>
              </w:rPr>
              <w:t xml:space="preserve">A test's ability to correctly find true positive cases. APOPO defines it on several levels: (1) on all samples with clinic microscopy </w:t>
            </w:r>
            <w:r>
              <w:rPr>
                <w:rFonts w:ascii="Consolas" w:hAnsi="Consolas" w:cs="Consolas"/>
                <w:sz w:val="18"/>
              </w:rPr>
              <w:t>ID_BL_DOTS</w:t>
            </w:r>
            <w:r>
              <w:rPr>
                <w:sz w:val="18"/>
              </w:rPr>
              <w:t xml:space="preserve"> &gt; 1; (2) on blind positives, </w:t>
            </w:r>
            <w:r>
              <w:rPr>
                <w:rFonts w:ascii="Consolas" w:hAnsi="Consolas" w:cs="Consolas"/>
                <w:sz w:val="18"/>
              </w:rPr>
              <w:t>STATUS_BLINDPOS</w:t>
            </w:r>
            <w:r>
              <w:rPr>
                <w:sz w:val="18"/>
              </w:rPr>
              <w:t xml:space="preserve"> = TRUE; (3) on APOPO-confirmed samples, </w:t>
            </w:r>
            <w:r>
              <w:rPr>
                <w:rFonts w:ascii="Consolas" w:hAnsi="Consolas" w:cs="Consolas"/>
                <w:sz w:val="18"/>
              </w:rPr>
              <w:t>ID_BL_APOPO</w:t>
            </w:r>
            <w:r>
              <w:rPr>
                <w:sz w:val="18"/>
              </w:rPr>
              <w:t xml:space="preserve"> = any value other than 1 or blank.</w:t>
            </w:r>
          </w:p>
        </w:tc>
        <w:tc>
          <w:tcPr>
            <w:tcW w:type="dxa" w:w="2346"/>
          </w:tcPr>
          <w:p>
            <w:pPr>
              <w:keepNext/>
              <w:spacing w:before="0" w:after="0" w:line="240" w:lineRule="auto"/>
              <w:jc w:val="left"/>
            </w:pPr>
            <w:r>
              <w:rPr>
                <w:sz w:val="18"/>
              </w:rPr>
              <w:t>Count of HIT = TRUE on positive samples / total positive samples</w:t>
            </w:r>
          </w:p>
        </w:tc>
      </w:tr>
      <w:tr>
        <w:trPr>
          <w:cantSplit/>
        </w:trPr>
        <w:tc>
          <w:tcPr>
            <w:tcW w:type="dxa" w:w="1624"/>
            <w:shd w:val="clear" w:color="auto" w:fill="FFF4EE"/>
          </w:tcPr>
          <w:p>
            <w:pPr>
              <w:keepNext/>
              <w:spacing w:before="0" w:after="0" w:line="240" w:lineRule="auto"/>
              <w:jc w:val="left"/>
            </w:pPr>
            <w:r>
              <w:rPr>
                <w:b/>
                <w:sz w:val="18"/>
              </w:rPr>
              <w:t>Specificity</w:t>
            </w:r>
          </w:p>
        </w:tc>
        <w:tc>
          <w:tcPr>
            <w:tcW w:type="dxa" w:w="5054"/>
            <w:shd w:val="clear" w:color="auto" w:fill="FFF4EE"/>
          </w:tcPr>
          <w:p>
            <w:pPr>
              <w:keepNext/>
              <w:spacing w:before="0" w:after="0" w:line="240" w:lineRule="auto"/>
              <w:jc w:val="left"/>
            </w:pPr>
            <w:r>
              <w:rPr>
                <w:sz w:val="18"/>
              </w:rPr>
              <w:t xml:space="preserve">A test's ability to correctly reject negative cases; the inverse of the false alarm rate. APOPO defines it: (1) relative to </w:t>
            </w:r>
            <w:r>
              <w:rPr>
                <w:rFonts w:ascii="Consolas" w:hAnsi="Consolas" w:cs="Consolas"/>
                <w:sz w:val="18"/>
              </w:rPr>
              <w:t>ID_BL_DOTS</w:t>
            </w:r>
            <w:r>
              <w:rPr>
                <w:sz w:val="18"/>
              </w:rPr>
              <w:t xml:space="preserve"> (and/or </w:t>
            </w:r>
            <w:r>
              <w:rPr>
                <w:rFonts w:ascii="Consolas" w:hAnsi="Consolas" w:cs="Consolas"/>
                <w:sz w:val="18"/>
              </w:rPr>
              <w:t>ID_GXP_DOTS</w:t>
            </w:r>
            <w:r>
              <w:rPr>
                <w:sz w:val="18"/>
              </w:rPr>
              <w:t>); (2) relative to the calculated status of the sample, i.e. leaving out samples the clinic found negative but APOPO confirmed positive ("new cases").</w:t>
            </w:r>
          </w:p>
        </w:tc>
        <w:tc>
          <w:tcPr>
            <w:tcW w:type="dxa" w:w="2346"/>
            <w:shd w:val="clear" w:color="auto" w:fill="FFF4EE"/>
          </w:tcPr>
          <w:p>
            <w:pPr>
              <w:keepNext/>
              <w:spacing w:before="0" w:after="0" w:line="240" w:lineRule="auto"/>
              <w:jc w:val="left"/>
            </w:pPr>
            <w:r>
              <w:rPr>
                <w:sz w:val="18"/>
              </w:rPr>
              <w:t>Correct rejections / total negative samples. A correct rejection is HIT = FALSE on a negative sample; a negative sample is clinic-negative minus new cases.</w:t>
            </w:r>
          </w:p>
        </w:tc>
      </w:tr>
      <w:tr>
        <w:trPr>
          <w:cantSplit/>
        </w:trPr>
        <w:tc>
          <w:tcPr>
            <w:tcW w:type="dxa" w:w="1624"/>
          </w:tcPr>
          <w:p>
            <w:pPr>
              <w:keepNext/>
              <w:spacing w:before="0" w:after="0" w:line="240" w:lineRule="auto"/>
              <w:jc w:val="left"/>
            </w:pPr>
            <w:r>
              <w:rPr>
                <w:b/>
                <w:sz w:val="18"/>
              </w:rPr>
              <w:t>False alarm</w:t>
            </w:r>
          </w:p>
        </w:tc>
        <w:tc>
          <w:tcPr>
            <w:tcW w:type="dxa" w:w="5054"/>
          </w:tcPr>
          <w:p>
            <w:pPr>
              <w:keepNext/>
              <w:spacing w:before="0" w:after="0" w:line="240" w:lineRule="auto"/>
              <w:jc w:val="left"/>
            </w:pPr>
            <w:r>
              <w:rPr>
                <w:sz w:val="18"/>
              </w:rPr>
              <w:t>Any negative sample with HIT = TRUE. The inverse of a correct rejection; the rate is computed as a percentage of total negative samples.</w:t>
            </w:r>
          </w:p>
        </w:tc>
        <w:tc>
          <w:tcPr>
            <w:tcW w:type="dxa" w:w="2346"/>
          </w:tcPr>
          <w:p>
            <w:pPr>
              <w:keepNext/>
              <w:spacing w:before="0" w:after="0" w:line="240" w:lineRule="auto"/>
              <w:jc w:val="left"/>
            </w:pPr>
            <w:r>
              <w:rPr>
                <w:sz w:val="18"/>
              </w:rPr>
              <w:t>False alarms / total negative samples</w:t>
            </w:r>
          </w:p>
        </w:tc>
      </w:tr>
      <w:tr>
        <w:trPr>
          <w:cantSplit/>
        </w:trPr>
        <w:tc>
          <w:tcPr>
            <w:tcW w:type="dxa" w:w="1624"/>
            <w:shd w:val="clear" w:color="auto" w:fill="FFF4EE"/>
          </w:tcPr>
          <w:p>
            <w:pPr>
              <w:keepNext/>
              <w:spacing w:before="0" w:after="0" w:line="240" w:lineRule="auto"/>
              <w:jc w:val="left"/>
            </w:pPr>
            <w:r>
              <w:rPr>
                <w:b/>
                <w:sz w:val="18"/>
              </w:rPr>
              <w:t>New case</w:t>
            </w:r>
          </w:p>
        </w:tc>
        <w:tc>
          <w:tcPr>
            <w:tcW w:type="dxa" w:w="5054"/>
            <w:shd w:val="clear" w:color="auto" w:fill="FFF4EE"/>
          </w:tcPr>
          <w:p>
            <w:pPr>
              <w:keepNext/>
              <w:spacing w:before="0" w:after="0" w:line="240" w:lineRule="auto"/>
              <w:jc w:val="left"/>
            </w:pPr>
            <w:r>
              <w:rPr>
                <w:sz w:val="18"/>
              </w:rPr>
              <w:t xml:space="preserve">A sample with </w:t>
            </w:r>
            <w:r>
              <w:rPr>
                <w:rFonts w:ascii="Consolas" w:hAnsi="Consolas" w:cs="Consolas"/>
                <w:sz w:val="18"/>
              </w:rPr>
              <w:t>ID_BL_DOTS</w:t>
            </w:r>
            <w:r>
              <w:rPr>
                <w:sz w:val="18"/>
              </w:rPr>
              <w:t xml:space="preserve"> or </w:t>
            </w:r>
            <w:r>
              <w:rPr>
                <w:rFonts w:ascii="Consolas" w:hAnsi="Consolas" w:cs="Consolas"/>
                <w:sz w:val="18"/>
              </w:rPr>
              <w:t>ID_GXP_DOTS</w:t>
            </w:r>
            <w:r>
              <w:rPr>
                <w:sz w:val="18"/>
              </w:rPr>
              <w:t xml:space="preserve"> = 1 (clinic-negative) but with </w:t>
            </w:r>
            <w:r>
              <w:rPr>
                <w:rFonts w:ascii="Consolas" w:hAnsi="Consolas" w:cs="Consolas"/>
                <w:sz w:val="18"/>
              </w:rPr>
              <w:t>ID_BL_APOPO</w:t>
            </w:r>
            <w:r>
              <w:rPr>
                <w:sz w:val="18"/>
              </w:rPr>
              <w:t xml:space="preserve"> (and/or </w:t>
            </w:r>
            <w:r>
              <w:rPr>
                <w:rFonts w:ascii="Consolas" w:hAnsi="Consolas" w:cs="Consolas"/>
                <w:sz w:val="18"/>
              </w:rPr>
              <w:t>STATUS_DEFINITIVE</w:t>
            </w:r>
            <w:r>
              <w:rPr>
                <w:sz w:val="18"/>
              </w:rPr>
              <w:t xml:space="preserve"> and/or </w:t>
            </w:r>
            <w:r>
              <w:rPr>
                <w:rFonts w:ascii="Consolas" w:hAnsi="Consolas" w:cs="Consolas"/>
                <w:sz w:val="18"/>
              </w:rPr>
              <w:t>ID_GXP_APOPO</w:t>
            </w:r>
            <w:r>
              <w:rPr>
                <w:sz w:val="18"/>
              </w:rPr>
              <w:t>) other than blank or 1 (APOPO-confirmed positive). For a given rat, it counts as a new case for that rat if HIT = TRUE. A unique new case is a sample found by only one rat. Rats evaluate samples, not patients, and a patient can provide more than one sample.</w:t>
            </w:r>
          </w:p>
        </w:tc>
        <w:tc>
          <w:tcPr>
            <w:tcW w:type="dxa" w:w="2346"/>
            <w:shd w:val="clear" w:color="auto" w:fill="FFF4EE"/>
          </w:tcPr>
          <w:p>
            <w:pPr>
              <w:keepNext/>
              <w:spacing w:before="0" w:after="0" w:line="240" w:lineRule="auto"/>
              <w:jc w:val="left"/>
            </w:pPr>
            <w:r>
              <w:rPr>
                <w:sz w:val="18"/>
              </w:rPr>
              <w:t>See definition</w:t>
            </w:r>
          </w:p>
        </w:tc>
      </w:tr>
      <w:tr>
        <w:trPr>
          <w:cantSplit/>
        </w:trPr>
        <w:tc>
          <w:tcPr>
            <w:tcW w:type="dxa" w:w="1624"/>
          </w:tcPr>
          <w:p>
            <w:pPr>
              <w:spacing w:before="0" w:after="0" w:line="240" w:lineRule="auto"/>
              <w:jc w:val="left"/>
            </w:pPr>
            <w:r>
              <w:rPr>
                <w:b/>
                <w:sz w:val="18"/>
              </w:rPr>
              <w:t>% Hits unconfirmed</w:t>
            </w:r>
          </w:p>
        </w:tc>
        <w:tc>
          <w:tcPr>
            <w:tcW w:type="dxa" w:w="5054"/>
          </w:tcPr>
          <w:p>
            <w:pPr>
              <w:spacing w:before="0" w:after="0" w:line="240" w:lineRule="auto"/>
              <w:jc w:val="left"/>
            </w:pPr>
            <w:r>
              <w:rPr>
                <w:sz w:val="18"/>
              </w:rPr>
              <w:t>Close to specificity and false alarm rate, but with a different denominator: it estimates how likely an indication from a rat reflects the true status of the sample. APOPO usually computes it on unconfirmed hits (false alarms) to focus on efficiency; it can equally be computed on correct hits (how likely a rat's indication corresponds to a TB-positive sample). More advanced ways to compute predictive value are welcome.</w:t>
            </w:r>
          </w:p>
        </w:tc>
        <w:tc>
          <w:tcPr>
            <w:tcW w:type="dxa" w:w="2346"/>
          </w:tcPr>
          <w:p>
            <w:pPr>
              <w:spacing w:before="0" w:after="0" w:line="240" w:lineRule="auto"/>
              <w:jc w:val="left"/>
            </w:pPr>
            <w:r>
              <w:rPr>
                <w:sz w:val="18"/>
              </w:rPr>
              <w:t>False alarms / count of HIT = TRUE</w:t>
            </w:r>
          </w:p>
        </w:tc>
      </w:tr>
    </w:tbl>
    <w:p>
      <w:pPr>
        <w:spacing w:after="60"/>
      </w:pPr>
    </w:p>
    <w:p>
      <w:pPr>
        <w:spacing w:after="120" w:line="264" w:lineRule="auto"/>
        <w:jc w:val="both"/>
      </w:pPr>
      <w:r>
        <w:rPr>
          <w:b/>
        </w:rPr>
        <w:t>Accuracy</w:t>
      </w:r>
      <w:r>
        <w:rPr/>
        <w:t xml:space="preserve"> – the share of all evaluable samples where the rat's decision agreed with the reference: (TP + TN) / total. Always show it next to sensitivity and specificity.</w:t>
      </w:r>
    </w:p>
    <w:p>
      <w:pPr>
        <w:spacing w:after="120" w:line="264" w:lineRule="auto"/>
        <w:jc w:val="both"/>
      </w:pPr>
      <w:r>
        <w:rPr/>
        <w:t>None of these proves an individual sample's diagnosis.</w:t>
      </w:r>
    </w:p>
    <w:p>
      <w:pPr>
        <w:pStyle w:val="Heading1"/>
        <w:spacing w:before="360" w:after="120"/>
      </w:pPr>
      <w:r>
        <w:rPr/>
        <w:t>Start your analysis without losing information</w:t>
      </w:r>
    </w:p>
    <w:p>
      <w:pPr>
        <w:pStyle w:val="ListParagraph"/>
        <w:ind w:left="720" w:hanging="360"/>
        <w:spacing w:after="60" w:line="252" w:lineRule="auto"/>
      </w:pPr>
      <w:r>
        <w:rPr>
          <w:b/>
          <w:color w:val="FC5B00"/>
        </w:rPr>
        <w:t>1.</w:t>
        <w:tab/>
      </w:r>
      <w:r>
        <w:rPr/>
        <w:t>Keep the source unchanged. Work on a copy and record every transformation.</w:t>
      </w:r>
    </w:p>
    <w:p>
      <w:pPr>
        <w:pStyle w:val="ListParagraph"/>
        <w:ind w:left="720" w:hanging="360"/>
        <w:spacing w:after="60" w:line="252" w:lineRule="auto"/>
      </w:pPr>
      <w:r>
        <w:rPr>
          <w:b/>
          <w:color w:val="FC5B00"/>
        </w:rPr>
        <w:t>2.</w:t>
        <w:tab/>
      </w:r>
      <w:r>
        <w:rPr/>
        <w:t xml:space="preserve">Convert Excel date/time serials with origin </w:t>
      </w:r>
      <w:r>
        <w:rPr>
          <w:rFonts w:ascii="Consolas" w:hAnsi="Consolas" w:cs="Consolas"/>
          <w:sz w:val="18"/>
        </w:rPr>
        <w:t>1899-12-30</w:t>
      </w:r>
      <w:r>
        <w:rPr/>
        <w:t xml:space="preserve">. In Python, read the workbook with pandas using </w:t>
      </w:r>
      <w:r>
        <w:rPr>
          <w:rFonts w:ascii="Consolas" w:hAnsi="Consolas" w:cs="Consolas"/>
          <w:sz w:val="18"/>
        </w:rPr>
        <w:t>engine="pyxlsb"</w:t>
      </w:r>
      <w:r>
        <w:rPr/>
        <w:t>.</w:t>
      </w:r>
    </w:p>
    <w:p>
      <w:pPr>
        <w:pStyle w:val="ListParagraph"/>
        <w:ind w:left="720" w:hanging="360"/>
        <w:spacing w:after="60" w:line="252" w:lineRule="auto"/>
      </w:pPr>
      <w:r>
        <w:rPr>
          <w:b/>
          <w:color w:val="FC5B00"/>
        </w:rPr>
        <w:t>3.</w:t>
        <w:tab/>
      </w:r>
      <w:r>
        <w:rPr/>
        <w:t>Review sample types and surrogate markers before choosing a clinical-sample cohort. Record exclusions and why.</w:t>
      </w:r>
    </w:p>
    <w:p>
      <w:pPr>
        <w:pStyle w:val="ListParagraph"/>
        <w:ind w:left="720" w:hanging="360"/>
        <w:spacing w:after="60" w:line="252" w:lineRule="auto"/>
      </w:pPr>
      <w:r>
        <w:rPr>
          <w:b/>
          <w:color w:val="FC5B00"/>
        </w:rPr>
        <w:t>4.</w:t>
        <w:tab/>
      </w:r>
      <w:r>
        <w:rPr/>
        <w:t>Flag suspicious timings and missing values. Do not automatically delete every zero sniff time, repeated ID or sparsely represented rat.</w:t>
      </w:r>
    </w:p>
    <w:p>
      <w:pPr>
        <w:pStyle w:val="ListParagraph"/>
        <w:ind w:left="720" w:hanging="360"/>
        <w:spacing w:after="60" w:line="252" w:lineRule="auto"/>
      </w:pPr>
      <w:r>
        <w:rPr>
          <w:b/>
          <w:color w:val="FC5B00"/>
        </w:rPr>
        <w:t>5.</w:t>
        <w:tab/>
      </w:r>
      <w:r>
        <w:rPr/>
        <w:t>Decide your unit: recorded observation, unique sample or unique patient. Repeated presentations are not new patients.</w:t>
      </w:r>
    </w:p>
    <w:p>
      <w:pPr>
        <w:pStyle w:val="ListParagraph"/>
        <w:ind w:left="720" w:hanging="360"/>
        <w:spacing w:after="60" w:line="252" w:lineRule="auto"/>
      </w:pPr>
      <w:r>
        <w:rPr>
          <w:b/>
          <w:color w:val="FC5B00"/>
        </w:rPr>
        <w:t>6.</w:t>
        <w:tab/>
      </w:r>
      <w:r>
        <w:rPr/>
        <w:t>Explore differences by rat, date, configuration and reuse – and diagnostic disagreements – before proposing one overall performance score.</w:t>
      </w:r>
    </w:p>
    <w:p>
      <w:pPr>
        <w:pStyle w:val="ListParagraph"/>
        <w:ind w:left="720" w:hanging="360"/>
        <w:spacing w:after="60" w:line="252" w:lineRule="auto"/>
      </w:pPr>
      <w:r>
        <w:rPr>
          <w:b/>
          <w:color w:val="FC5B00"/>
        </w:rPr>
        <w:t>7.</w:t>
        <w:tab/>
      </w:r>
      <w:r>
        <w:rPr/>
        <w:t>Keep diagnostic and session context. Build smaller analysis views only for a specific question.</w:t>
      </w:r>
    </w:p>
    <w:p>
      <w:pPr>
        <w:pStyle w:val="ListParagraph"/>
        <w:ind w:left="720" w:hanging="360"/>
        <w:spacing w:after="160" w:line="252" w:lineRule="auto"/>
      </w:pPr>
      <w:r>
        <w:rPr>
          <w:b/>
          <w:color w:val="FC5B00"/>
        </w:rPr>
        <w:t>8.</w:t>
        <w:tab/>
      </w:r>
      <w:r>
        <w:rPr/>
        <w:t>Present limitations with your results, including tested/not-tested counts and the assumptions you made.</w:t>
      </w:r>
    </w:p>
    <w:p>
      <w:pPr>
        <w:pBdr>
          <w:left w:val="single" w:sz="24" w:space="8" w:color="FC5B00"/>
        </w:pBdr>
        <w:shd w:val="clear" w:color="auto" w:fill="FFE9DC"/>
        <w:ind w:left="227" w:right="113"/>
        <w:spacing w:before="60" w:after="200" w:line="264" w:lineRule="auto"/>
      </w:pPr>
      <w:r>
        <w:rPr>
          <w:b/>
          <w:color w:val="FC5B00"/>
        </w:rPr>
        <w:t xml:space="preserve">Note  </w:t>
      </w:r>
      <w:r>
        <w:rPr/>
        <w:t>A previous analysis kept only six fields, removed surrogate-marker rows, zero-time rows with a hit or reward, and two rats (Orpheus and Bertha), leaving 170,949 observations and 13 rats. It also dropped patient IDs and APOPO confirmation. These were that team's choices, not mandatory cleaning rules for you.</w:t>
      </w:r>
    </w:p>
    <w:p>
      <w:pPr>
        <w:spacing w:after="120" w:line="264" w:lineRule="auto"/>
        <w:jc w:val="both"/>
      </w:pPr>
      <w:r>
        <w:rPr/>
        <w:t xml:space="preserve">For routine statistics, </w:t>
      </w:r>
      <w:r>
        <w:rPr>
          <w:rFonts w:ascii="Consolas" w:hAnsi="Consolas" w:cs="Consolas"/>
          <w:sz w:val="18"/>
        </w:rPr>
        <w:t>ID_GXP_APOPO</w:t>
      </w:r>
      <w:r>
        <w:rPr/>
        <w:t xml:space="preserve"> has no values, </w:t>
      </w:r>
      <w:r>
        <w:rPr>
          <w:rFonts w:ascii="Consolas" w:hAnsi="Consolas" w:cs="Consolas"/>
          <w:sz w:val="18"/>
        </w:rPr>
        <w:t>ReadTotalSnifftime</w:t>
      </w:r>
      <w:r>
        <w:rPr/>
        <w:t xml:space="preserve"> has no variation and the staff fields have only 30 populated rows each. You can leave them out of an analysis view. The sparse </w:t>
      </w:r>
      <w:r>
        <w:rPr>
          <w:rFonts w:ascii="Consolas" w:hAnsi="Consolas" w:cs="Consolas"/>
          <w:sz w:val="18"/>
        </w:rPr>
        <w:t>ID_BL_APOPO</w:t>
      </w:r>
      <w:r>
        <w:rPr/>
        <w:t xml:space="preserve"> results remain important.</w:t>
      </w:r>
    </w:p>
    <w:p>
      <w:pPr>
        <w:spacing w:after="120" w:line="264" w:lineRule="auto"/>
        <w:jc w:val="both"/>
      </w:pPr>
      <w:r>
        <w:rPr/>
        <w:t>If you build a predictive model: keep related samples/patients in the same split, justify any time-based split, tune without using test outcomes, and keep later laboratory results out of the inputs available at screening time.</w:t>
      </w:r>
    </w:p>
    <w:p>
      <w:pPr>
        <w:pStyle w:val="Heading1"/>
        <w:spacing w:before="360" w:after="120"/>
      </w:pPr>
      <w:r>
        <w:rPr/>
        <w:t>Questions worth asking APOPO</w:t>
      </w:r>
    </w:p>
    <w:p>
      <w:pPr>
        <w:pStyle w:val="ListParagraph"/>
        <w:numPr>
          <w:ilvl w:val="0"/>
          <w:numId w:val="19"/>
        </w:numPr>
        <w:spacing w:after="60" w:line="252" w:lineRule="auto"/>
      </w:pPr>
      <w:r>
        <w:rPr/>
        <w:t>Which threshold applies when the evaluation threshold is zero?</w:t>
      </w:r>
    </w:p>
    <w:p>
      <w:pPr>
        <w:pStyle w:val="ListParagraph"/>
        <w:numPr>
          <w:ilvl w:val="0"/>
          <w:numId w:val="19"/>
        </w:numPr>
        <w:spacing w:after="60" w:line="252" w:lineRule="auto"/>
      </w:pPr>
      <w:r>
        <w:rPr/>
        <w:t>Does SniffTime represent continuous or cumulative sniffing in each setup?</w:t>
      </w:r>
    </w:p>
    <w:p>
      <w:pPr>
        <w:pStyle w:val="ListParagraph"/>
        <w:numPr>
          <w:ilvl w:val="0"/>
          <w:numId w:val="19"/>
        </w:numPr>
        <w:spacing w:after="60" w:line="252" w:lineRule="auto"/>
      </w:pPr>
      <w:r>
        <w:rPr/>
        <w:t>What do zero thresholds, zero temperatures, sample-type abbreviations and the reuse count mean?</w:t>
      </w:r>
    </w:p>
    <w:p>
      <w:pPr>
        <w:pStyle w:val="ListParagraph"/>
        <w:numPr>
          <w:ilvl w:val="0"/>
          <w:numId w:val="19"/>
        </w:numPr>
        <w:spacing w:after="60" w:line="252" w:lineRule="auto"/>
      </w:pPr>
      <w:r>
        <w:rPr/>
        <w:t>How should conflicting diagnostic methods be combined for our question?</w:t>
      </w:r>
    </w:p>
    <w:p>
      <w:pPr>
        <w:pStyle w:val="ListParagraph"/>
        <w:numPr>
          <w:ilvl w:val="0"/>
          <w:numId w:val="19"/>
        </w:numPr>
        <w:spacing w:after="160" w:line="252" w:lineRule="auto"/>
      </w:pPr>
      <w:r>
        <w:rPr/>
        <w:t>Which samples were selected for confirmation, and can confirmation dates be supplied?</w:t>
      </w:r>
    </w:p>
    <w:p>
      <w:pPr>
        <w:spacing w:after="120" w:line="264" w:lineRule="auto"/>
        <w:jc w:val="both"/>
      </w:pPr>
      <w:r>
        <w:rPr>
          <w:i/>
        </w:rPr>
        <w:t>There are no confirmation-result timestamps in this export: sniff duration is not the delay to confirmation or treatment.</w:t>
      </w:r>
    </w:p>
    <w:sectPr w:rsidR="00C06417" w:rsidRPr="006F7CCB" w:rsidSect="00DB6A03">
      <w:headerReference w:type="even" r:id="rId14"/>
      <w:headerReference w:type="default" r:id="rId15"/>
      <w:footerReference w:type="even" r:id="rId16"/>
      <w:footerReference w:type="default" r:id="rId17"/>
      <w:headerReference w:type="first" r:id="rId18"/>
      <w:footerReference w:type="first" r:id="rId19"/>
      <w:pgSz w:w="11906" w:h="16838"/>
      <w:pgMar w:top="2127" w:right="1440" w:bottom="1843"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F74A" w14:textId="77777777" w:rsidR="003D6664" w:rsidRDefault="003D6664" w:rsidP="00567E16">
      <w:pPr>
        <w:spacing w:after="0" w:line="240" w:lineRule="auto"/>
      </w:pPr>
      <w:r>
        <w:separator/>
      </w:r>
    </w:p>
  </w:endnote>
  <w:endnote w:type="continuationSeparator" w:id="0">
    <w:p w14:paraId="5B2157F9" w14:textId="77777777" w:rsidR="003D6664" w:rsidRDefault="003D6664" w:rsidP="00567E16">
      <w:pPr>
        <w:spacing w:after="0" w:line="240" w:lineRule="auto"/>
      </w:pPr>
      <w:r>
        <w:continuationSeparator/>
      </w:r>
    </w:p>
  </w:endnote>
  <w:endnote w:type="continuationNotice" w:id="1">
    <w:p w14:paraId="05F7F81E" w14:textId="77777777" w:rsidR="003D6664" w:rsidRDefault="003D6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7252" w14:textId="77777777" w:rsidR="00646596" w:rsidRDefault="00646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479433"/>
      <w:docPartObj>
        <w:docPartGallery w:val="Page Numbers (Bottom of Page)"/>
        <w:docPartUnique/>
      </w:docPartObj>
    </w:sdtPr>
    <w:sdtContent>
      <w:sdt>
        <w:sdtPr>
          <w:id w:val="-1450153730"/>
          <w:docPartObj>
            <w:docPartGallery w:val="Page Numbers (Top of Page)"/>
            <w:docPartUnique/>
          </w:docPartObj>
        </w:sdtPr>
        <w:sdtContent>
          <w:p w14:paraId="1577E8B9" w14:textId="77777777" w:rsidR="001C4D25" w:rsidRDefault="00EC26CA">
            <w:pPr>
              <w:pStyle w:val="Footer"/>
              <w:rPr>
                <w:b/>
                <w:bCs/>
                <w:sz w:val="24"/>
                <w:szCs w:val="24"/>
              </w:rPr>
            </w:pPr>
            <w:r w:rsidRPr="00736225">
              <w:rPr>
                <w:rFonts w:cs="Tahoma"/>
                <w:noProof/>
                <w:lang w:val="en-US"/>
              </w:rPr>
              <w:drawing>
                <wp:anchor distT="0" distB="0" distL="114300" distR="114300" simplePos="0" relativeHeight="251658241" behindDoc="1" locked="0" layoutInCell="1" allowOverlap="1" wp14:anchorId="0761D337" wp14:editId="4EF0A711">
                  <wp:simplePos x="0" y="0"/>
                  <wp:positionH relativeFrom="margin">
                    <wp:align>center</wp:align>
                  </wp:positionH>
                  <wp:positionV relativeFrom="paragraph">
                    <wp:posOffset>290195</wp:posOffset>
                  </wp:positionV>
                  <wp:extent cx="8060744" cy="659130"/>
                  <wp:effectExtent l="0" t="0" r="0" b="7620"/>
                  <wp:wrapNone/>
                  <wp:docPr id="224762310" name="Picture 22476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60744" cy="65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4D25">
              <w:t xml:space="preserve">Page </w:t>
            </w:r>
            <w:r w:rsidR="001C4D25">
              <w:rPr>
                <w:b/>
                <w:bCs/>
                <w:sz w:val="24"/>
                <w:szCs w:val="24"/>
              </w:rPr>
              <w:fldChar w:fldCharType="begin"/>
            </w:r>
            <w:r w:rsidR="001C4D25">
              <w:rPr>
                <w:b/>
                <w:bCs/>
              </w:rPr>
              <w:instrText xml:space="preserve"> PAGE </w:instrText>
            </w:r>
            <w:r w:rsidR="001C4D25">
              <w:rPr>
                <w:b/>
                <w:bCs/>
                <w:sz w:val="24"/>
                <w:szCs w:val="24"/>
              </w:rPr>
              <w:fldChar w:fldCharType="separate"/>
            </w:r>
            <w:r w:rsidR="001C4D25">
              <w:rPr>
                <w:b/>
                <w:bCs/>
                <w:noProof/>
              </w:rPr>
              <w:t>2</w:t>
            </w:r>
            <w:r w:rsidR="001C4D25">
              <w:rPr>
                <w:b/>
                <w:bCs/>
                <w:sz w:val="24"/>
                <w:szCs w:val="24"/>
              </w:rPr>
              <w:fldChar w:fldCharType="end"/>
            </w:r>
            <w:r w:rsidR="001C4D25">
              <w:t xml:space="preserve"> of </w:t>
            </w:r>
            <w:r w:rsidR="001C4D25">
              <w:rPr>
                <w:b/>
                <w:bCs/>
                <w:sz w:val="24"/>
                <w:szCs w:val="24"/>
              </w:rPr>
              <w:fldChar w:fldCharType="begin"/>
            </w:r>
            <w:r w:rsidR="001C4D25">
              <w:rPr>
                <w:b/>
                <w:bCs/>
              </w:rPr>
              <w:instrText xml:space="preserve"> NUMPAGES  </w:instrText>
            </w:r>
            <w:r w:rsidR="001C4D25">
              <w:rPr>
                <w:b/>
                <w:bCs/>
                <w:sz w:val="24"/>
                <w:szCs w:val="24"/>
              </w:rPr>
              <w:fldChar w:fldCharType="separate"/>
            </w:r>
            <w:r w:rsidR="001C4D25">
              <w:rPr>
                <w:b/>
                <w:bCs/>
                <w:noProof/>
              </w:rPr>
              <w:t>2</w:t>
            </w:r>
            <w:r w:rsidR="001C4D25">
              <w:rPr>
                <w:b/>
                <w:bCs/>
                <w:sz w:val="24"/>
                <w:szCs w:val="24"/>
              </w:rPr>
              <w:fldChar w:fldCharType="end"/>
            </w:r>
          </w:p>
          <w:p w14:paraId="3427B954" w14:textId="77777777" w:rsidR="001C4D25" w:rsidRDefault="00000000">
            <w:pPr>
              <w:pStyle w:val="Footer"/>
            </w:pPr>
          </w:p>
        </w:sdtContent>
      </w:sdt>
    </w:sdtContent>
  </w:sdt>
  <w:p w14:paraId="72FDA73A" w14:textId="77777777" w:rsidR="00567E16" w:rsidRDefault="00567E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ahoma"/>
      </w:rPr>
      <w:id w:val="-838079402"/>
      <w:docPartObj>
        <w:docPartGallery w:val="Page Numbers (Bottom of Page)"/>
        <w:docPartUnique/>
      </w:docPartObj>
    </w:sdtPr>
    <w:sdtContent>
      <w:sdt>
        <w:sdtPr>
          <w:rPr>
            <w:rFonts w:cs="Tahoma"/>
          </w:rPr>
          <w:id w:val="-1705238520"/>
          <w:docPartObj>
            <w:docPartGallery w:val="Page Numbers (Top of Page)"/>
            <w:docPartUnique/>
          </w:docPartObj>
        </w:sdtPr>
        <w:sdtContent>
          <w:p w14:paraId="03CB5D1C" w14:textId="77777777" w:rsidR="00736225" w:rsidRDefault="008B7144" w:rsidP="008B7144">
            <w:pPr>
              <w:pStyle w:val="Footer"/>
              <w:rPr>
                <w:rFonts w:cs="Tahoma"/>
                <w:b/>
                <w:bCs/>
                <w:sz w:val="24"/>
                <w:szCs w:val="24"/>
              </w:rPr>
            </w:pPr>
            <w:r w:rsidRPr="00736225">
              <w:rPr>
                <w:rFonts w:cs="Tahoma"/>
                <w:noProof/>
                <w:lang w:val="en-US"/>
              </w:rPr>
              <w:drawing>
                <wp:anchor distT="0" distB="0" distL="114300" distR="114300" simplePos="0" relativeHeight="251658243" behindDoc="1" locked="0" layoutInCell="1" allowOverlap="1" wp14:anchorId="7F8BB56C" wp14:editId="2DBBF1C9">
                  <wp:simplePos x="0" y="0"/>
                  <wp:positionH relativeFrom="margin">
                    <wp:posOffset>-1246505</wp:posOffset>
                  </wp:positionH>
                  <wp:positionV relativeFrom="paragraph">
                    <wp:posOffset>259521</wp:posOffset>
                  </wp:positionV>
                  <wp:extent cx="8060744" cy="659130"/>
                  <wp:effectExtent l="0" t="0" r="0" b="7620"/>
                  <wp:wrapNone/>
                  <wp:docPr id="201244396" name="Picture 20124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60744"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BFB71E" w14:textId="77777777" w:rsidR="00736225" w:rsidRPr="00736225" w:rsidRDefault="00000000">
            <w:pPr>
              <w:pStyle w:val="Footer"/>
              <w:rPr>
                <w:rFonts w:cs="Tahoma"/>
              </w:rPr>
            </w:pPr>
          </w:p>
        </w:sdtContent>
      </w:sdt>
    </w:sdtContent>
  </w:sdt>
  <w:p w14:paraId="74E0B95C" w14:textId="77777777" w:rsidR="00567E16" w:rsidRDefault="00567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815B" w14:textId="77777777" w:rsidR="003D6664" w:rsidRDefault="003D6664" w:rsidP="00567E16">
      <w:pPr>
        <w:spacing w:after="0" w:line="240" w:lineRule="auto"/>
      </w:pPr>
      <w:r>
        <w:separator/>
      </w:r>
    </w:p>
  </w:footnote>
  <w:footnote w:type="continuationSeparator" w:id="0">
    <w:p w14:paraId="12AE4830" w14:textId="77777777" w:rsidR="003D6664" w:rsidRDefault="003D6664" w:rsidP="00567E16">
      <w:pPr>
        <w:spacing w:after="0" w:line="240" w:lineRule="auto"/>
      </w:pPr>
      <w:r>
        <w:continuationSeparator/>
      </w:r>
    </w:p>
  </w:footnote>
  <w:footnote w:type="continuationNotice" w:id="1">
    <w:p w14:paraId="74BE8D7A" w14:textId="77777777" w:rsidR="003D6664" w:rsidRDefault="003D66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1B3F" w14:textId="77777777" w:rsidR="00646596" w:rsidRDefault="006465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AB3A" w14:textId="77777777" w:rsidR="00567E16" w:rsidRDefault="008B7144">
    <w:pPr>
      <w:pStyle w:val="Header"/>
    </w:pPr>
    <w:r>
      <w:rPr>
        <w:noProof/>
      </w:rPr>
      <w:drawing>
        <wp:anchor distT="0" distB="0" distL="114300" distR="114300" simplePos="0" relativeHeight="251658242" behindDoc="1" locked="0" layoutInCell="1" allowOverlap="1" wp14:anchorId="7CA35565" wp14:editId="21100AA4">
          <wp:simplePos x="0" y="0"/>
          <wp:positionH relativeFrom="margin">
            <wp:posOffset>63036</wp:posOffset>
          </wp:positionH>
          <wp:positionV relativeFrom="paragraph">
            <wp:posOffset>4100845</wp:posOffset>
          </wp:positionV>
          <wp:extent cx="6645910" cy="5520832"/>
          <wp:effectExtent l="0" t="0" r="2540" b="0"/>
          <wp:wrapNone/>
          <wp:docPr id="1580979242" name="Picture 1" descr="A black circle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0942" name="Picture 1" descr="A black circle with numbers and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645910" cy="5520832"/>
                  </a:xfrm>
                  <a:prstGeom prst="rect">
                    <a:avLst/>
                  </a:prstGeom>
                </pic:spPr>
              </pic:pic>
            </a:graphicData>
          </a:graphic>
          <wp14:sizeRelH relativeFrom="page">
            <wp14:pctWidth>0</wp14:pctWidth>
          </wp14:sizeRelH>
          <wp14:sizeRelV relativeFrom="page">
            <wp14:pctHeight>0</wp14:pctHeight>
          </wp14:sizeRelV>
        </wp:anchor>
      </w:drawing>
    </w:r>
    <w:r w:rsidR="00567E16">
      <w:rPr>
        <w:noProof/>
      </w:rPr>
      <w:drawing>
        <wp:anchor distT="0" distB="0" distL="114300" distR="114300" simplePos="0" relativeHeight="251658240" behindDoc="1" locked="0" layoutInCell="1" allowOverlap="1" wp14:anchorId="7F74EE4C" wp14:editId="43E6C6B4">
          <wp:simplePos x="0" y="0"/>
          <wp:positionH relativeFrom="column">
            <wp:posOffset>-675640</wp:posOffset>
          </wp:positionH>
          <wp:positionV relativeFrom="paragraph">
            <wp:posOffset>-297180</wp:posOffset>
          </wp:positionV>
          <wp:extent cx="7827211" cy="1490980"/>
          <wp:effectExtent l="0" t="0" r="0" b="0"/>
          <wp:wrapNone/>
          <wp:docPr id="1327456483" name="Picture 132745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7211" cy="14909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E7AA" w14:textId="77777777" w:rsidR="008B7144" w:rsidRDefault="00FF03EE">
    <w:pPr>
      <w:pStyle w:val="Header"/>
    </w:pPr>
    <w:r>
      <w:rPr>
        <w:noProof/>
      </w:rPr>
      <w:drawing>
        <wp:anchor distT="0" distB="0" distL="114300" distR="114300" simplePos="0" relativeHeight="251658245" behindDoc="1" locked="0" layoutInCell="1" allowOverlap="1" wp14:anchorId="4C992DCB" wp14:editId="300E9D95">
          <wp:simplePos x="0" y="0"/>
          <wp:positionH relativeFrom="margin">
            <wp:align>center</wp:align>
          </wp:positionH>
          <wp:positionV relativeFrom="paragraph">
            <wp:posOffset>410845</wp:posOffset>
          </wp:positionV>
          <wp:extent cx="7001510" cy="1606550"/>
          <wp:effectExtent l="0" t="0" r="0" b="0"/>
          <wp:wrapTight wrapText="bothSides">
            <wp:wrapPolygon edited="0">
              <wp:start x="17396" y="2817"/>
              <wp:lineTo x="14516" y="5891"/>
              <wp:lineTo x="13341" y="7172"/>
              <wp:lineTo x="12636" y="8708"/>
              <wp:lineTo x="12753" y="11526"/>
              <wp:lineTo x="10814" y="15624"/>
              <wp:lineTo x="1881" y="16648"/>
              <wp:lineTo x="1881" y="17929"/>
              <wp:lineTo x="19629" y="17929"/>
              <wp:lineTo x="19806" y="16648"/>
              <wp:lineTo x="15809" y="15624"/>
              <wp:lineTo x="19100" y="14087"/>
              <wp:lineTo x="19159" y="11526"/>
              <wp:lineTo x="19688" y="8196"/>
              <wp:lineTo x="19688" y="7428"/>
              <wp:lineTo x="17866" y="2817"/>
              <wp:lineTo x="17396" y="2817"/>
            </wp:wrapPolygon>
          </wp:wrapTight>
          <wp:docPr id="1608337818" name="Picture 1608337818" descr="A black screen with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3908" name="Picture 2" descr="A black screen with orang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01510" cy="160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144">
      <w:rPr>
        <w:noProof/>
      </w:rPr>
      <w:drawing>
        <wp:anchor distT="0" distB="0" distL="114300" distR="114300" simplePos="0" relativeHeight="251658244" behindDoc="1" locked="0" layoutInCell="1" allowOverlap="1" wp14:anchorId="014618F6" wp14:editId="41F45998">
          <wp:simplePos x="0" y="0"/>
          <wp:positionH relativeFrom="margin">
            <wp:posOffset>-19244</wp:posOffset>
          </wp:positionH>
          <wp:positionV relativeFrom="paragraph">
            <wp:posOffset>4029710</wp:posOffset>
          </wp:positionV>
          <wp:extent cx="6645910" cy="5520832"/>
          <wp:effectExtent l="0" t="0" r="2540" b="0"/>
          <wp:wrapNone/>
          <wp:docPr id="564504287" name="Picture 1" descr="A black circle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0942" name="Picture 1" descr="A black circle with numbers and dot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645910" cy="55208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A6"/>
    <w:multiLevelType w:val="hybridMultilevel"/>
    <w:tmpl w:val="74488684"/>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6D13882"/>
    <w:multiLevelType w:val="hybridMultilevel"/>
    <w:tmpl w:val="4470D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75B00"/>
    <w:multiLevelType w:val="hybridMultilevel"/>
    <w:tmpl w:val="5A3404BE"/>
    <w:lvl w:ilvl="0" w:tplc="F2648A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AE04CD"/>
    <w:multiLevelType w:val="hybridMultilevel"/>
    <w:tmpl w:val="25C8EB2E"/>
    <w:lvl w:ilvl="0" w:tplc="4F1AEBE4">
      <w:start w:val="8"/>
      <w:numFmt w:val="bullet"/>
      <w:lvlText w:val="-"/>
      <w:lvlJc w:val="left"/>
      <w:pPr>
        <w:ind w:left="720" w:hanging="360"/>
      </w:pPr>
      <w:rPr>
        <w:rFonts w:ascii="Tahoma" w:eastAsia="Calibr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AE068C"/>
    <w:multiLevelType w:val="hybridMultilevel"/>
    <w:tmpl w:val="A5FC301E"/>
    <w:lvl w:ilvl="0" w:tplc="F7EE1882">
      <w:start w:val="7"/>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3A546815"/>
    <w:multiLevelType w:val="hybridMultilevel"/>
    <w:tmpl w:val="6FD839CE"/>
    <w:lvl w:ilvl="0" w:tplc="A61885E6">
      <w:start w:val="1"/>
      <w:numFmt w:val="decimal"/>
      <w:lvlText w:val="1.1.%1"/>
      <w:lvlJc w:val="left"/>
      <w:pPr>
        <w:ind w:left="1800" w:hanging="360"/>
      </w:pPr>
      <w:rPr>
        <w:rFonts w:ascii="Tahoma" w:hAnsi="Tahoma" w:hint="default"/>
        <w:b w:val="0"/>
        <w:i w:val="0"/>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ACF545E"/>
    <w:multiLevelType w:val="hybridMultilevel"/>
    <w:tmpl w:val="90EAE9C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2C408F1"/>
    <w:multiLevelType w:val="multilevel"/>
    <w:tmpl w:val="E918DE84"/>
    <w:lvl w:ilvl="0">
      <w:start w:val="1"/>
      <w:numFmt w:val="decimal"/>
      <w:lvlText w:val="%1 "/>
      <w:lvlJc w:val="left"/>
      <w:pPr>
        <w:ind w:left="1080" w:hanging="360"/>
      </w:pPr>
      <w:rPr>
        <w:rFonts w:ascii="Tahoma" w:hAnsi="Tahoma" w:hint="default"/>
        <w:b/>
        <w:i w:val="0"/>
        <w:sz w:val="26"/>
      </w:rPr>
    </w:lvl>
    <w:lvl w:ilvl="1">
      <w:start w:val="1"/>
      <w:numFmt w:val="decimal"/>
      <w:lvlText w:val="%1.%2"/>
      <w:lvlJc w:val="left"/>
      <w:pPr>
        <w:ind w:left="1931" w:hanging="360"/>
      </w:pPr>
      <w:rPr>
        <w:rFonts w:hint="default"/>
      </w:rPr>
    </w:lvl>
    <w:lvl w:ilvl="2">
      <w:start w:val="1"/>
      <w:numFmt w:val="decimal"/>
      <w:lvlText w:val="%1.%2.%3"/>
      <w:lvlJc w:val="right"/>
      <w:pPr>
        <w:ind w:left="2651" w:hanging="180"/>
      </w:pPr>
      <w:rPr>
        <w:rFonts w:hint="default"/>
      </w:rPr>
    </w:lvl>
    <w:lvl w:ilvl="3">
      <w:start w:val="1"/>
      <w:numFmt w:val="upperLetter"/>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8" w15:restartNumberingAfterBreak="0">
    <w:nsid w:val="45A515E3"/>
    <w:multiLevelType w:val="hybridMultilevel"/>
    <w:tmpl w:val="D3364800"/>
    <w:lvl w:ilvl="0" w:tplc="2000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46F27490"/>
    <w:multiLevelType w:val="hybridMultilevel"/>
    <w:tmpl w:val="2780E17A"/>
    <w:lvl w:ilvl="0" w:tplc="EC540A86">
      <w:start w:val="3"/>
      <w:numFmt w:val="bullet"/>
      <w:lvlText w:val=""/>
      <w:lvlJc w:val="left"/>
      <w:pPr>
        <w:ind w:left="1071" w:hanging="711"/>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164FD"/>
    <w:multiLevelType w:val="hybridMultilevel"/>
    <w:tmpl w:val="7C30A50C"/>
    <w:lvl w:ilvl="0" w:tplc="F58CACD2">
      <w:start w:val="6"/>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4828696C"/>
    <w:multiLevelType w:val="hybridMultilevel"/>
    <w:tmpl w:val="A51493E2"/>
    <w:lvl w:ilvl="0" w:tplc="B8F29A2A">
      <w:numFmt w:val="bullet"/>
      <w:lvlText w:val=""/>
      <w:lvlJc w:val="left"/>
      <w:pPr>
        <w:ind w:left="1440" w:hanging="72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49852610"/>
    <w:multiLevelType w:val="hybridMultilevel"/>
    <w:tmpl w:val="9FEEEC5C"/>
    <w:lvl w:ilvl="0" w:tplc="3B548FF2">
      <w:numFmt w:val="bullet"/>
      <w:lvlText w:val="•"/>
      <w:lvlJc w:val="left"/>
      <w:pPr>
        <w:ind w:left="1440" w:hanging="720"/>
      </w:pPr>
      <w:rPr>
        <w:rFonts w:ascii="Tahoma" w:eastAsiaTheme="minorHAnsi" w:hAnsi="Tahoma" w:cs="Tahoma"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49C256BC"/>
    <w:multiLevelType w:val="multilevel"/>
    <w:tmpl w:val="D340F73E"/>
    <w:lvl w:ilvl="0">
      <w:start w:val="1"/>
      <w:numFmt w:val="decimal"/>
      <w:pStyle w:val="Heading1"/>
      <w:lvlText w:val="%1 "/>
      <w:lvlJc w:val="left"/>
      <w:pPr>
        <w:ind w:left="1080" w:hanging="360"/>
      </w:pPr>
      <w:rPr>
        <w:rFonts w:ascii="Tahoma" w:hAnsi="Tahoma" w:hint="default"/>
        <w:b/>
        <w:i w:val="0"/>
        <w:sz w:val="26"/>
      </w:rPr>
    </w:lvl>
    <w:lvl w:ilvl="1">
      <w:start w:val="1"/>
      <w:numFmt w:val="decimal"/>
      <w:pStyle w:val="Heading2"/>
      <w:lvlText w:val="%1.%2"/>
      <w:lvlJc w:val="left"/>
      <w:pPr>
        <w:ind w:left="1931" w:hanging="360"/>
      </w:pPr>
      <w:rPr>
        <w:rFonts w:hint="default"/>
      </w:rPr>
    </w:lvl>
    <w:lvl w:ilvl="2">
      <w:start w:val="1"/>
      <w:numFmt w:val="decimal"/>
      <w:pStyle w:val="Heading3"/>
      <w:lvlText w:val="%1.%2.%3"/>
      <w:lvlJc w:val="right"/>
      <w:pPr>
        <w:ind w:left="2651" w:hanging="180"/>
      </w:pPr>
      <w:rPr>
        <w:rFonts w:hint="default"/>
      </w:rPr>
    </w:lvl>
    <w:lvl w:ilvl="3">
      <w:start w:val="1"/>
      <w:numFmt w:val="upperLetter"/>
      <w:pStyle w:val="Heading4"/>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14" w15:restartNumberingAfterBreak="0">
    <w:nsid w:val="4B030684"/>
    <w:multiLevelType w:val="multilevel"/>
    <w:tmpl w:val="2E3C10C6"/>
    <w:lvl w:ilvl="0">
      <w:start w:val="1"/>
      <w:numFmt w:val="decimal"/>
      <w:lvlText w:val="%1 "/>
      <w:lvlJc w:val="left"/>
      <w:pPr>
        <w:ind w:left="1080" w:hanging="360"/>
      </w:pPr>
      <w:rPr>
        <w:rFonts w:ascii="Tahoma" w:hAnsi="Tahoma" w:hint="default"/>
        <w:b/>
        <w:i w:val="0"/>
        <w:sz w:val="26"/>
      </w:rPr>
    </w:lvl>
    <w:lvl w:ilvl="1">
      <w:start w:val="1"/>
      <w:numFmt w:val="decimal"/>
      <w:lvlText w:val="%1.%2"/>
      <w:lvlJc w:val="left"/>
      <w:pPr>
        <w:ind w:left="1931" w:hanging="360"/>
      </w:pPr>
      <w:rPr>
        <w:rFonts w:hint="default"/>
      </w:rPr>
    </w:lvl>
    <w:lvl w:ilvl="2">
      <w:start w:val="1"/>
      <w:numFmt w:val="decimal"/>
      <w:lvlText w:val="%1.%2.%3"/>
      <w:lvlJc w:val="right"/>
      <w:pPr>
        <w:ind w:left="2651" w:hanging="180"/>
      </w:pPr>
      <w:rPr>
        <w:rFonts w:hint="default"/>
      </w:rPr>
    </w:lvl>
    <w:lvl w:ilvl="3">
      <w:start w:val="1"/>
      <w:numFmt w:val="upperLetter"/>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15" w15:restartNumberingAfterBreak="0">
    <w:nsid w:val="4E4902AB"/>
    <w:multiLevelType w:val="hybridMultilevel"/>
    <w:tmpl w:val="43580FAC"/>
    <w:lvl w:ilvl="0" w:tplc="7872302A">
      <w:start w:val="1"/>
      <w:numFmt w:val="upperLetter"/>
      <w:lvlText w:val="%1."/>
      <w:lvlJc w:val="left"/>
      <w:pPr>
        <w:ind w:left="2520" w:hanging="360"/>
      </w:pPr>
      <w:rPr>
        <w:rFonts w:ascii="Tahoma" w:hAnsi="Tahoma" w:hint="default"/>
        <w:b w:val="0"/>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28446E4"/>
    <w:multiLevelType w:val="hybridMultilevel"/>
    <w:tmpl w:val="6EF40D28"/>
    <w:lvl w:ilvl="0" w:tplc="E21A93B8">
      <w:start w:val="10"/>
      <w:numFmt w:val="bullet"/>
      <w:lvlText w:val="-"/>
      <w:lvlJc w:val="left"/>
      <w:pPr>
        <w:ind w:left="720" w:hanging="36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5902433"/>
    <w:multiLevelType w:val="hybridMultilevel"/>
    <w:tmpl w:val="DEE0F294"/>
    <w:lvl w:ilvl="0" w:tplc="20000003">
      <w:start w:val="1"/>
      <w:numFmt w:val="bullet"/>
      <w:lvlText w:val="o"/>
      <w:lvlJc w:val="left"/>
      <w:pPr>
        <w:ind w:left="1080" w:hanging="360"/>
      </w:pPr>
      <w:rPr>
        <w:rFonts w:ascii="Courier New" w:hAnsi="Courier New" w:cs="Courier New" w:hint="default"/>
      </w:rPr>
    </w:lvl>
    <w:lvl w:ilvl="1" w:tplc="D748971A">
      <w:numFmt w:val="bullet"/>
      <w:lvlText w:val=""/>
      <w:lvlJc w:val="left"/>
      <w:pPr>
        <w:ind w:left="2160" w:hanging="720"/>
      </w:pPr>
      <w:rPr>
        <w:rFonts w:ascii="Symbol" w:eastAsiaTheme="minorHAnsi" w:hAnsi="Symbol" w:cstheme="minorBidi"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69397F6D"/>
    <w:multiLevelType w:val="hybridMultilevel"/>
    <w:tmpl w:val="9EFC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14D10"/>
    <w:multiLevelType w:val="hybridMultilevel"/>
    <w:tmpl w:val="8C7E3F06"/>
    <w:lvl w:ilvl="0" w:tplc="9C7483D8">
      <w:start w:val="3"/>
      <w:numFmt w:val="bullet"/>
      <w:lvlText w:val=""/>
      <w:lvlJc w:val="left"/>
      <w:pPr>
        <w:ind w:left="1071" w:hanging="711"/>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343528">
    <w:abstractNumId w:val="13"/>
  </w:num>
  <w:num w:numId="2" w16cid:durableId="1348678677">
    <w:abstractNumId w:val="5"/>
  </w:num>
  <w:num w:numId="3" w16cid:durableId="619461634">
    <w:abstractNumId w:val="15"/>
  </w:num>
  <w:num w:numId="4" w16cid:durableId="2034458466">
    <w:abstractNumId w:val="2"/>
  </w:num>
  <w:num w:numId="5" w16cid:durableId="6536854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7868980">
    <w:abstractNumId w:val="14"/>
  </w:num>
  <w:num w:numId="7" w16cid:durableId="1511144990">
    <w:abstractNumId w:val="7"/>
  </w:num>
  <w:num w:numId="8" w16cid:durableId="977879992">
    <w:abstractNumId w:val="19"/>
  </w:num>
  <w:num w:numId="9" w16cid:durableId="1017393132">
    <w:abstractNumId w:val="9"/>
  </w:num>
  <w:num w:numId="10" w16cid:durableId="1604071365">
    <w:abstractNumId w:val="17"/>
  </w:num>
  <w:num w:numId="11" w16cid:durableId="755831227">
    <w:abstractNumId w:val="11"/>
  </w:num>
  <w:num w:numId="12" w16cid:durableId="1616058557">
    <w:abstractNumId w:val="8"/>
  </w:num>
  <w:num w:numId="13" w16cid:durableId="374894452">
    <w:abstractNumId w:val="0"/>
  </w:num>
  <w:num w:numId="14" w16cid:durableId="1760101733">
    <w:abstractNumId w:val="12"/>
  </w:num>
  <w:num w:numId="15" w16cid:durableId="1686439705">
    <w:abstractNumId w:val="18"/>
  </w:num>
  <w:num w:numId="16" w16cid:durableId="1039353929">
    <w:abstractNumId w:val="1"/>
  </w:num>
  <w:num w:numId="17" w16cid:durableId="1871069640">
    <w:abstractNumId w:val="6"/>
  </w:num>
  <w:num w:numId="18" w16cid:durableId="1574506519">
    <w:abstractNumId w:val="10"/>
  </w:num>
  <w:num w:numId="19" w16cid:durableId="2026861024">
    <w:abstractNumId w:val="16"/>
  </w:num>
  <w:num w:numId="20" w16cid:durableId="1804500954">
    <w:abstractNumId w:val="3"/>
  </w:num>
  <w:num w:numId="21" w16cid:durableId="1033535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54"/>
    <w:rsid w:val="00001893"/>
    <w:rsid w:val="00010F2E"/>
    <w:rsid w:val="00017251"/>
    <w:rsid w:val="00035539"/>
    <w:rsid w:val="00046A83"/>
    <w:rsid w:val="00057220"/>
    <w:rsid w:val="00060F19"/>
    <w:rsid w:val="0006311F"/>
    <w:rsid w:val="0008715E"/>
    <w:rsid w:val="000B793F"/>
    <w:rsid w:val="000C7EE3"/>
    <w:rsid w:val="000D0D8F"/>
    <w:rsid w:val="000D49BA"/>
    <w:rsid w:val="000E09E5"/>
    <w:rsid w:val="000E0B95"/>
    <w:rsid w:val="000E3633"/>
    <w:rsid w:val="000F77F3"/>
    <w:rsid w:val="0011416A"/>
    <w:rsid w:val="00120AAA"/>
    <w:rsid w:val="001252ED"/>
    <w:rsid w:val="001524DB"/>
    <w:rsid w:val="00173F45"/>
    <w:rsid w:val="00193FD3"/>
    <w:rsid w:val="00195736"/>
    <w:rsid w:val="00196214"/>
    <w:rsid w:val="001A04B7"/>
    <w:rsid w:val="001A1E26"/>
    <w:rsid w:val="001A509A"/>
    <w:rsid w:val="001B2144"/>
    <w:rsid w:val="001C4D25"/>
    <w:rsid w:val="001E5191"/>
    <w:rsid w:val="001F1044"/>
    <w:rsid w:val="002056E3"/>
    <w:rsid w:val="00213AA0"/>
    <w:rsid w:val="00216234"/>
    <w:rsid w:val="002173AD"/>
    <w:rsid w:val="00223439"/>
    <w:rsid w:val="00230D4E"/>
    <w:rsid w:val="00255E95"/>
    <w:rsid w:val="00267037"/>
    <w:rsid w:val="00271B40"/>
    <w:rsid w:val="00274E7D"/>
    <w:rsid w:val="00284BC5"/>
    <w:rsid w:val="00294DD7"/>
    <w:rsid w:val="002C01E0"/>
    <w:rsid w:val="002D7497"/>
    <w:rsid w:val="002E06B4"/>
    <w:rsid w:val="002F4322"/>
    <w:rsid w:val="002F5D7F"/>
    <w:rsid w:val="00306DD9"/>
    <w:rsid w:val="00316EB1"/>
    <w:rsid w:val="00316FEC"/>
    <w:rsid w:val="00357BD1"/>
    <w:rsid w:val="00357EF7"/>
    <w:rsid w:val="00361E3D"/>
    <w:rsid w:val="0039523C"/>
    <w:rsid w:val="00396431"/>
    <w:rsid w:val="003A1AC2"/>
    <w:rsid w:val="003A75F2"/>
    <w:rsid w:val="003C3CB5"/>
    <w:rsid w:val="003C75BB"/>
    <w:rsid w:val="003D01A9"/>
    <w:rsid w:val="003D1A78"/>
    <w:rsid w:val="003D6664"/>
    <w:rsid w:val="003F0CCE"/>
    <w:rsid w:val="003F2BC2"/>
    <w:rsid w:val="004046CB"/>
    <w:rsid w:val="00414C6A"/>
    <w:rsid w:val="00417292"/>
    <w:rsid w:val="004308B4"/>
    <w:rsid w:val="00432869"/>
    <w:rsid w:val="00434ADB"/>
    <w:rsid w:val="00435D85"/>
    <w:rsid w:val="00435E63"/>
    <w:rsid w:val="00440817"/>
    <w:rsid w:val="004408C5"/>
    <w:rsid w:val="004409E8"/>
    <w:rsid w:val="00447CCE"/>
    <w:rsid w:val="00473EF0"/>
    <w:rsid w:val="00475F47"/>
    <w:rsid w:val="004A49C3"/>
    <w:rsid w:val="004A62D6"/>
    <w:rsid w:val="004C76D7"/>
    <w:rsid w:val="004D3E30"/>
    <w:rsid w:val="004E3EAA"/>
    <w:rsid w:val="004E4E26"/>
    <w:rsid w:val="004F1EE1"/>
    <w:rsid w:val="004F5412"/>
    <w:rsid w:val="004F7821"/>
    <w:rsid w:val="00501626"/>
    <w:rsid w:val="005045E4"/>
    <w:rsid w:val="0051550A"/>
    <w:rsid w:val="00532F33"/>
    <w:rsid w:val="00545EF4"/>
    <w:rsid w:val="00565392"/>
    <w:rsid w:val="00566DEF"/>
    <w:rsid w:val="00567E16"/>
    <w:rsid w:val="00576110"/>
    <w:rsid w:val="005857E1"/>
    <w:rsid w:val="00593E73"/>
    <w:rsid w:val="005A3757"/>
    <w:rsid w:val="005C37ED"/>
    <w:rsid w:val="005E1087"/>
    <w:rsid w:val="005F3614"/>
    <w:rsid w:val="00605DB5"/>
    <w:rsid w:val="00607DBA"/>
    <w:rsid w:val="00616D2C"/>
    <w:rsid w:val="00646596"/>
    <w:rsid w:val="00661BA1"/>
    <w:rsid w:val="00663DFD"/>
    <w:rsid w:val="006742D2"/>
    <w:rsid w:val="006B58AF"/>
    <w:rsid w:val="006C2C08"/>
    <w:rsid w:val="006D070D"/>
    <w:rsid w:val="006D7614"/>
    <w:rsid w:val="006F12DA"/>
    <w:rsid w:val="006F7CCB"/>
    <w:rsid w:val="00705D10"/>
    <w:rsid w:val="00710C4D"/>
    <w:rsid w:val="0071464B"/>
    <w:rsid w:val="00714F43"/>
    <w:rsid w:val="00717849"/>
    <w:rsid w:val="0072456B"/>
    <w:rsid w:val="00727520"/>
    <w:rsid w:val="00736225"/>
    <w:rsid w:val="0074163B"/>
    <w:rsid w:val="00745FD2"/>
    <w:rsid w:val="007541AF"/>
    <w:rsid w:val="00754790"/>
    <w:rsid w:val="007613F4"/>
    <w:rsid w:val="007825B3"/>
    <w:rsid w:val="00792EA5"/>
    <w:rsid w:val="007A302F"/>
    <w:rsid w:val="007A6F77"/>
    <w:rsid w:val="007A77D3"/>
    <w:rsid w:val="007A7B70"/>
    <w:rsid w:val="007D1432"/>
    <w:rsid w:val="007D3FC2"/>
    <w:rsid w:val="007D74F8"/>
    <w:rsid w:val="00801E5B"/>
    <w:rsid w:val="00802D1C"/>
    <w:rsid w:val="00807A83"/>
    <w:rsid w:val="00810D67"/>
    <w:rsid w:val="00827323"/>
    <w:rsid w:val="0083082A"/>
    <w:rsid w:val="00881665"/>
    <w:rsid w:val="00894AFE"/>
    <w:rsid w:val="008A2473"/>
    <w:rsid w:val="008A27C1"/>
    <w:rsid w:val="008A41DC"/>
    <w:rsid w:val="008A67E0"/>
    <w:rsid w:val="008B31E5"/>
    <w:rsid w:val="008B4FFC"/>
    <w:rsid w:val="008B7144"/>
    <w:rsid w:val="008C1158"/>
    <w:rsid w:val="008C68C3"/>
    <w:rsid w:val="008D3135"/>
    <w:rsid w:val="008D3D4C"/>
    <w:rsid w:val="008E27F8"/>
    <w:rsid w:val="008F4DEC"/>
    <w:rsid w:val="008F4F8B"/>
    <w:rsid w:val="00916C96"/>
    <w:rsid w:val="00921AE1"/>
    <w:rsid w:val="009239E4"/>
    <w:rsid w:val="0092609D"/>
    <w:rsid w:val="00927AB7"/>
    <w:rsid w:val="00935F7A"/>
    <w:rsid w:val="00941EA7"/>
    <w:rsid w:val="00960E14"/>
    <w:rsid w:val="00984A74"/>
    <w:rsid w:val="00991060"/>
    <w:rsid w:val="00991AE8"/>
    <w:rsid w:val="00991C8B"/>
    <w:rsid w:val="009925C2"/>
    <w:rsid w:val="009A18E2"/>
    <w:rsid w:val="009B28D9"/>
    <w:rsid w:val="009B2924"/>
    <w:rsid w:val="009C1FB9"/>
    <w:rsid w:val="009D0061"/>
    <w:rsid w:val="009E320D"/>
    <w:rsid w:val="009F1BD4"/>
    <w:rsid w:val="009F45DF"/>
    <w:rsid w:val="009F5E53"/>
    <w:rsid w:val="00A21DEA"/>
    <w:rsid w:val="00A278E8"/>
    <w:rsid w:val="00A34389"/>
    <w:rsid w:val="00A344D9"/>
    <w:rsid w:val="00A7005B"/>
    <w:rsid w:val="00A81A76"/>
    <w:rsid w:val="00A91F6A"/>
    <w:rsid w:val="00A942B9"/>
    <w:rsid w:val="00AB37B2"/>
    <w:rsid w:val="00AB7576"/>
    <w:rsid w:val="00AC6017"/>
    <w:rsid w:val="00AD19A6"/>
    <w:rsid w:val="00AE52F1"/>
    <w:rsid w:val="00AE5B2E"/>
    <w:rsid w:val="00B03C69"/>
    <w:rsid w:val="00B04285"/>
    <w:rsid w:val="00B12B32"/>
    <w:rsid w:val="00B17C52"/>
    <w:rsid w:val="00B2525C"/>
    <w:rsid w:val="00B53100"/>
    <w:rsid w:val="00B70583"/>
    <w:rsid w:val="00BB058D"/>
    <w:rsid w:val="00BB0A2E"/>
    <w:rsid w:val="00BB2FDF"/>
    <w:rsid w:val="00BC2441"/>
    <w:rsid w:val="00C00583"/>
    <w:rsid w:val="00C06417"/>
    <w:rsid w:val="00C12565"/>
    <w:rsid w:val="00C42C5B"/>
    <w:rsid w:val="00C52263"/>
    <w:rsid w:val="00C5699D"/>
    <w:rsid w:val="00C67A3F"/>
    <w:rsid w:val="00C74D90"/>
    <w:rsid w:val="00C97CAE"/>
    <w:rsid w:val="00CA15DE"/>
    <w:rsid w:val="00CE05FB"/>
    <w:rsid w:val="00CE5606"/>
    <w:rsid w:val="00CE6ED5"/>
    <w:rsid w:val="00CF679A"/>
    <w:rsid w:val="00D07D9F"/>
    <w:rsid w:val="00D12E0B"/>
    <w:rsid w:val="00D22F0D"/>
    <w:rsid w:val="00D610C4"/>
    <w:rsid w:val="00D9418C"/>
    <w:rsid w:val="00D952D4"/>
    <w:rsid w:val="00D95DA3"/>
    <w:rsid w:val="00DA0E34"/>
    <w:rsid w:val="00DA4825"/>
    <w:rsid w:val="00DB6A03"/>
    <w:rsid w:val="00DC1D5A"/>
    <w:rsid w:val="00DC216C"/>
    <w:rsid w:val="00DC4C94"/>
    <w:rsid w:val="00DE2E41"/>
    <w:rsid w:val="00DE4597"/>
    <w:rsid w:val="00E03654"/>
    <w:rsid w:val="00E2243D"/>
    <w:rsid w:val="00E42DEA"/>
    <w:rsid w:val="00E43264"/>
    <w:rsid w:val="00E4349A"/>
    <w:rsid w:val="00E45362"/>
    <w:rsid w:val="00E52CE3"/>
    <w:rsid w:val="00E52D68"/>
    <w:rsid w:val="00E67DF9"/>
    <w:rsid w:val="00E90561"/>
    <w:rsid w:val="00E910DC"/>
    <w:rsid w:val="00EA0BC3"/>
    <w:rsid w:val="00EB117C"/>
    <w:rsid w:val="00EB60A4"/>
    <w:rsid w:val="00EC26CA"/>
    <w:rsid w:val="00EE4420"/>
    <w:rsid w:val="00EE7927"/>
    <w:rsid w:val="00F05194"/>
    <w:rsid w:val="00F05BB3"/>
    <w:rsid w:val="00F24298"/>
    <w:rsid w:val="00F36E7F"/>
    <w:rsid w:val="00F42A9D"/>
    <w:rsid w:val="00F44BC3"/>
    <w:rsid w:val="00F45EC9"/>
    <w:rsid w:val="00F51C54"/>
    <w:rsid w:val="00F554E2"/>
    <w:rsid w:val="00F818C4"/>
    <w:rsid w:val="00F83ACE"/>
    <w:rsid w:val="00F84AB7"/>
    <w:rsid w:val="00FA39EA"/>
    <w:rsid w:val="00FB06CD"/>
    <w:rsid w:val="00FB3162"/>
    <w:rsid w:val="00FC4E19"/>
    <w:rsid w:val="00FE6CAC"/>
    <w:rsid w:val="00FE7502"/>
    <w:rsid w:val="00FF03EE"/>
    <w:rsid w:val="00FF0CC1"/>
    <w:rsid w:val="00FF17C4"/>
    <w:rsid w:val="00FF2C9C"/>
    <w:rsid w:val="00FF6E4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80E47"/>
  <w15:chartTrackingRefBased/>
  <w15:docId w15:val="{839AB942-6943-4DB1-8F15-BF01D2CA7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3EE"/>
    <w:rPr>
      <w:rFonts w:ascii="Tahoma" w:hAnsi="Tahoma"/>
      <w:sz w:val="20"/>
    </w:rPr>
  </w:style>
  <w:style w:type="paragraph" w:styleId="Heading1">
    <w:name w:val="heading 1"/>
    <w:basedOn w:val="Normal"/>
    <w:next w:val="Normal"/>
    <w:link w:val="Heading1Char"/>
    <w:uiPriority w:val="9"/>
    <w:qFormat/>
    <w:rsid w:val="00447CCE"/>
    <w:pPr>
      <w:keepNext/>
      <w:keepLines/>
      <w:numPr>
        <w:numId w:val="1"/>
      </w:numPr>
      <w:pBdr>
        <w:top w:val="single" w:sz="4" w:space="1" w:color="FC5B00"/>
        <w:left w:val="single" w:sz="4" w:space="4" w:color="FC5B00"/>
        <w:bottom w:val="single" w:sz="4" w:space="1" w:color="FC5B00"/>
        <w:right w:val="single" w:sz="4" w:space="4" w:color="FC5B00"/>
      </w:pBdr>
      <w:spacing w:before="240" w:after="0"/>
      <w:ind w:left="36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47CCE"/>
    <w:pPr>
      <w:keepNext/>
      <w:keepLines/>
      <w:numPr>
        <w:ilvl w:val="1"/>
        <w:numId w:val="1"/>
      </w:numPr>
      <w:spacing w:before="40" w:after="0"/>
      <w:ind w:left="108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447CCE"/>
    <w:pPr>
      <w:keepNext/>
      <w:keepLines/>
      <w:numPr>
        <w:ilvl w:val="2"/>
        <w:numId w:val="1"/>
      </w:numPr>
      <w:spacing w:before="40" w:after="0"/>
      <w:ind w:left="1620"/>
      <w:outlineLvl w:val="2"/>
    </w:pPr>
    <w:rPr>
      <w:rFonts w:eastAsiaTheme="majorEastAsia" w:cstheme="majorBidi"/>
      <w:sz w:val="22"/>
      <w:szCs w:val="24"/>
    </w:rPr>
  </w:style>
  <w:style w:type="paragraph" w:styleId="Heading4">
    <w:name w:val="heading 4"/>
    <w:basedOn w:val="Normal"/>
    <w:next w:val="Normal"/>
    <w:link w:val="Heading4Char"/>
    <w:uiPriority w:val="9"/>
    <w:unhideWhenUsed/>
    <w:qFormat/>
    <w:rsid w:val="007A77D3"/>
    <w:pPr>
      <w:keepNext/>
      <w:keepLines/>
      <w:numPr>
        <w:ilvl w:val="3"/>
        <w:numId w:val="1"/>
      </w:numPr>
      <w:spacing w:before="40" w:after="0"/>
      <w:ind w:left="180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7E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E16"/>
  </w:style>
  <w:style w:type="paragraph" w:styleId="Footer">
    <w:name w:val="footer"/>
    <w:basedOn w:val="Normal"/>
    <w:link w:val="FooterChar"/>
    <w:uiPriority w:val="99"/>
    <w:unhideWhenUsed/>
    <w:rsid w:val="00567E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E16"/>
  </w:style>
  <w:style w:type="paragraph" w:customStyle="1" w:styleId="Style1">
    <w:name w:val="Style1"/>
    <w:basedOn w:val="Normal"/>
    <w:qFormat/>
    <w:rsid w:val="00567E16"/>
    <w:rPr>
      <w:lang w:val="en-US"/>
    </w:rPr>
  </w:style>
  <w:style w:type="character" w:customStyle="1" w:styleId="Heading1Char">
    <w:name w:val="Heading 1 Char"/>
    <w:basedOn w:val="DefaultParagraphFont"/>
    <w:link w:val="Heading1"/>
    <w:uiPriority w:val="9"/>
    <w:rsid w:val="00447CCE"/>
    <w:rPr>
      <w:rFonts w:ascii="Tahoma" w:eastAsiaTheme="majorEastAsia" w:hAnsi="Tahoma" w:cstheme="majorBidi"/>
      <w:b/>
      <w:sz w:val="28"/>
      <w:szCs w:val="32"/>
    </w:rPr>
  </w:style>
  <w:style w:type="character" w:customStyle="1" w:styleId="Heading2Char">
    <w:name w:val="Heading 2 Char"/>
    <w:basedOn w:val="DefaultParagraphFont"/>
    <w:link w:val="Heading2"/>
    <w:uiPriority w:val="9"/>
    <w:rsid w:val="00447CCE"/>
    <w:rPr>
      <w:rFonts w:ascii="Tahoma" w:eastAsiaTheme="majorEastAsia" w:hAnsi="Tahoma" w:cstheme="majorBidi"/>
      <w:b/>
      <w:sz w:val="24"/>
      <w:szCs w:val="26"/>
    </w:rPr>
  </w:style>
  <w:style w:type="character" w:customStyle="1" w:styleId="Heading3Char">
    <w:name w:val="Heading 3 Char"/>
    <w:basedOn w:val="DefaultParagraphFont"/>
    <w:link w:val="Heading3"/>
    <w:uiPriority w:val="9"/>
    <w:rsid w:val="00447CCE"/>
    <w:rPr>
      <w:rFonts w:ascii="Tahoma" w:eastAsiaTheme="majorEastAsia" w:hAnsi="Tahoma" w:cstheme="majorBidi"/>
      <w:szCs w:val="24"/>
    </w:rPr>
  </w:style>
  <w:style w:type="character" w:customStyle="1" w:styleId="Heading4Char">
    <w:name w:val="Heading 4 Char"/>
    <w:basedOn w:val="DefaultParagraphFont"/>
    <w:link w:val="Heading4"/>
    <w:uiPriority w:val="9"/>
    <w:rsid w:val="007A77D3"/>
    <w:rPr>
      <w:rFonts w:ascii="Tahoma" w:eastAsiaTheme="majorEastAsia" w:hAnsi="Tahoma" w:cstheme="majorBidi"/>
      <w:iCs/>
      <w:sz w:val="20"/>
    </w:rPr>
  </w:style>
  <w:style w:type="paragraph" w:styleId="Title">
    <w:name w:val="Title"/>
    <w:basedOn w:val="Normal"/>
    <w:next w:val="Normal"/>
    <w:link w:val="TitleChar"/>
    <w:uiPriority w:val="10"/>
    <w:qFormat/>
    <w:rsid w:val="008E27F8"/>
    <w:pPr>
      <w:spacing w:after="0" w:line="240" w:lineRule="auto"/>
      <w:contextualSpacing/>
    </w:pPr>
    <w:rPr>
      <w:rFonts w:eastAsiaTheme="majorEastAsia" w:cstheme="majorBidi"/>
      <w:b/>
      <w:color w:val="301D56"/>
      <w:spacing w:val="-10"/>
      <w:kern w:val="28"/>
      <w:sz w:val="32"/>
      <w:szCs w:val="56"/>
    </w:rPr>
  </w:style>
  <w:style w:type="character" w:customStyle="1" w:styleId="TitleChar">
    <w:name w:val="Title Char"/>
    <w:basedOn w:val="DefaultParagraphFont"/>
    <w:link w:val="Title"/>
    <w:uiPriority w:val="10"/>
    <w:rsid w:val="008E27F8"/>
    <w:rPr>
      <w:rFonts w:ascii="Tahoma" w:eastAsiaTheme="majorEastAsia" w:hAnsi="Tahoma" w:cstheme="majorBidi"/>
      <w:b/>
      <w:color w:val="301D56"/>
      <w:spacing w:val="-10"/>
      <w:kern w:val="28"/>
      <w:sz w:val="32"/>
      <w:szCs w:val="56"/>
    </w:rPr>
  </w:style>
  <w:style w:type="table" w:styleId="GridTable5Dark-Accent6">
    <w:name w:val="Grid Table 5 Dark Accent 6"/>
    <w:basedOn w:val="TableNormal"/>
    <w:uiPriority w:val="50"/>
    <w:rsid w:val="002E06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3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1D5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1D5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1D5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1D56" w:themeFill="accent6"/>
      </w:tcPr>
    </w:tblStylePr>
    <w:tblStylePr w:type="band1Vert">
      <w:tblPr/>
      <w:tcPr>
        <w:shd w:val="clear" w:color="auto" w:fill="A288D7" w:themeFill="accent6" w:themeFillTint="66"/>
      </w:tcPr>
    </w:tblStylePr>
    <w:tblStylePr w:type="band1Horz">
      <w:tblPr/>
      <w:tcPr>
        <w:shd w:val="clear" w:color="auto" w:fill="A288D7" w:themeFill="accent6" w:themeFillTint="66"/>
      </w:tcPr>
    </w:tblStylePr>
  </w:style>
  <w:style w:type="table" w:styleId="TableGrid">
    <w:name w:val="Table Grid"/>
    <w:basedOn w:val="TableNormal"/>
    <w:uiPriority w:val="39"/>
    <w:rsid w:val="00E43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E4349A"/>
    <w:pPr>
      <w:spacing w:after="0" w:line="240" w:lineRule="auto"/>
    </w:pPr>
    <w:tblPr>
      <w:tblStyleRowBandSize w:val="1"/>
      <w:tblStyleColBandSize w:val="1"/>
      <w:tblBorders>
        <w:top w:val="single" w:sz="4" w:space="0" w:color="FC5B00" w:themeColor="accent1"/>
        <w:left w:val="single" w:sz="4" w:space="0" w:color="FC5B00" w:themeColor="accent1"/>
        <w:bottom w:val="single" w:sz="4" w:space="0" w:color="FC5B00" w:themeColor="accent1"/>
        <w:right w:val="single" w:sz="4" w:space="0" w:color="FC5B00" w:themeColor="accent1"/>
      </w:tblBorders>
    </w:tblPr>
    <w:tblStylePr w:type="firstRow">
      <w:rPr>
        <w:b/>
        <w:bCs/>
        <w:color w:val="FFFFFF" w:themeColor="background1"/>
      </w:rPr>
      <w:tblPr/>
      <w:tcPr>
        <w:shd w:val="clear" w:color="auto" w:fill="FC5B00" w:themeFill="accent1"/>
      </w:tcPr>
    </w:tblStylePr>
    <w:tblStylePr w:type="lastRow">
      <w:rPr>
        <w:b/>
        <w:bCs/>
      </w:rPr>
      <w:tblPr/>
      <w:tcPr>
        <w:tcBorders>
          <w:top w:val="double" w:sz="4" w:space="0" w:color="FC5B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5B00" w:themeColor="accent1"/>
          <w:right w:val="single" w:sz="4" w:space="0" w:color="FC5B00" w:themeColor="accent1"/>
        </w:tcBorders>
      </w:tcPr>
    </w:tblStylePr>
    <w:tblStylePr w:type="band1Horz">
      <w:tblPr/>
      <w:tcPr>
        <w:tcBorders>
          <w:top w:val="single" w:sz="4" w:space="0" w:color="FC5B00" w:themeColor="accent1"/>
          <w:bottom w:val="single" w:sz="4" w:space="0" w:color="FC5B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5B00" w:themeColor="accent1"/>
          <w:left w:val="nil"/>
        </w:tcBorders>
      </w:tcPr>
    </w:tblStylePr>
    <w:tblStylePr w:type="swCell">
      <w:tblPr/>
      <w:tcPr>
        <w:tcBorders>
          <w:top w:val="double" w:sz="4" w:space="0" w:color="FC5B00" w:themeColor="accent1"/>
          <w:right w:val="nil"/>
        </w:tcBorders>
      </w:tcPr>
    </w:tblStylePr>
  </w:style>
  <w:style w:type="table" w:styleId="ListTable4-Accent1">
    <w:name w:val="List Table 4 Accent 1"/>
    <w:basedOn w:val="TableNormal"/>
    <w:uiPriority w:val="49"/>
    <w:rsid w:val="00E4349A"/>
    <w:pPr>
      <w:spacing w:after="0" w:line="240" w:lineRule="auto"/>
    </w:pPr>
    <w:tblPr>
      <w:tblStyleRowBandSize w:val="1"/>
      <w:tblStyleColBandSize w:val="1"/>
      <w:tblBorders>
        <w:top w:val="single" w:sz="4" w:space="0" w:color="FF9B64" w:themeColor="accent1" w:themeTint="99"/>
        <w:left w:val="single" w:sz="4" w:space="0" w:color="FF9B64" w:themeColor="accent1" w:themeTint="99"/>
        <w:bottom w:val="single" w:sz="4" w:space="0" w:color="FF9B64" w:themeColor="accent1" w:themeTint="99"/>
        <w:right w:val="single" w:sz="4" w:space="0" w:color="FF9B64" w:themeColor="accent1" w:themeTint="99"/>
        <w:insideH w:val="single" w:sz="4" w:space="0" w:color="FF9B64" w:themeColor="accent1" w:themeTint="99"/>
      </w:tblBorders>
    </w:tblPr>
    <w:tblStylePr w:type="firstRow">
      <w:rPr>
        <w:b/>
        <w:bCs/>
        <w:color w:val="FFFFFF" w:themeColor="background1"/>
      </w:rPr>
      <w:tblPr/>
      <w:tcPr>
        <w:tcBorders>
          <w:top w:val="single" w:sz="4" w:space="0" w:color="FC5B00" w:themeColor="accent1"/>
          <w:left w:val="single" w:sz="4" w:space="0" w:color="FC5B00" w:themeColor="accent1"/>
          <w:bottom w:val="single" w:sz="4" w:space="0" w:color="FC5B00" w:themeColor="accent1"/>
          <w:right w:val="single" w:sz="4" w:space="0" w:color="FC5B00" w:themeColor="accent1"/>
          <w:insideH w:val="nil"/>
        </w:tcBorders>
        <w:shd w:val="clear" w:color="auto" w:fill="FC5B00" w:themeFill="accent1"/>
      </w:tcPr>
    </w:tblStylePr>
    <w:tblStylePr w:type="lastRow">
      <w:rPr>
        <w:b/>
        <w:bCs/>
      </w:rPr>
      <w:tblPr/>
      <w:tcPr>
        <w:tcBorders>
          <w:top w:val="double" w:sz="4" w:space="0" w:color="FF9B64" w:themeColor="accent1" w:themeTint="99"/>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GridTable1Light-Accent1">
    <w:name w:val="Grid Table 1 Light Accent 1"/>
    <w:basedOn w:val="TableNormal"/>
    <w:uiPriority w:val="46"/>
    <w:rsid w:val="00DB6A03"/>
    <w:pPr>
      <w:spacing w:after="0" w:line="240" w:lineRule="auto"/>
    </w:pPr>
    <w:tblPr>
      <w:tblStyleRowBandSize w:val="1"/>
      <w:tblStyleColBandSize w:val="1"/>
      <w:tblBorders>
        <w:top w:val="single" w:sz="4" w:space="0" w:color="FFBC97" w:themeColor="accent1" w:themeTint="66"/>
        <w:left w:val="single" w:sz="4" w:space="0" w:color="FFBC97" w:themeColor="accent1" w:themeTint="66"/>
        <w:bottom w:val="single" w:sz="4" w:space="0" w:color="FFBC97" w:themeColor="accent1" w:themeTint="66"/>
        <w:right w:val="single" w:sz="4" w:space="0" w:color="FFBC97" w:themeColor="accent1" w:themeTint="66"/>
        <w:insideH w:val="single" w:sz="4" w:space="0" w:color="FFBC97" w:themeColor="accent1" w:themeTint="66"/>
        <w:insideV w:val="single" w:sz="4" w:space="0" w:color="FFBC97" w:themeColor="accent1" w:themeTint="66"/>
      </w:tblBorders>
    </w:tblPr>
    <w:tblStylePr w:type="firstRow">
      <w:rPr>
        <w:b/>
        <w:bCs/>
      </w:rPr>
      <w:tblPr/>
      <w:tcPr>
        <w:tcBorders>
          <w:bottom w:val="single" w:sz="12" w:space="0" w:color="FF9B64" w:themeColor="accent1" w:themeTint="99"/>
        </w:tcBorders>
      </w:tcPr>
    </w:tblStylePr>
    <w:tblStylePr w:type="lastRow">
      <w:rPr>
        <w:b/>
        <w:bCs/>
      </w:rPr>
      <w:tblPr/>
      <w:tcPr>
        <w:tcBorders>
          <w:top w:val="double" w:sz="2" w:space="0" w:color="FF9B64" w:themeColor="accent1"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DB6A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AC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980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980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980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9808" w:themeFill="accent2"/>
      </w:tcPr>
    </w:tblStylePr>
    <w:tblStylePr w:type="band1Vert">
      <w:tblPr/>
      <w:tcPr>
        <w:shd w:val="clear" w:color="auto" w:fill="FDD59C" w:themeFill="accent2" w:themeFillTint="66"/>
      </w:tcPr>
    </w:tblStylePr>
    <w:tblStylePr w:type="band1Horz">
      <w:tblPr/>
      <w:tcPr>
        <w:shd w:val="clear" w:color="auto" w:fill="FDD59C" w:themeFill="accent2" w:themeFillTint="66"/>
      </w:tcPr>
    </w:tblStylePr>
  </w:style>
  <w:style w:type="table" w:styleId="GridTable5Dark-Accent3">
    <w:name w:val="Grid Table 5 Dark Accent 3"/>
    <w:basedOn w:val="TableNormal"/>
    <w:uiPriority w:val="50"/>
    <w:rsid w:val="00DB6A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1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BA0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BA0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BA0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BA08" w:themeFill="accent3"/>
      </w:tcPr>
    </w:tblStylePr>
    <w:tblStylePr w:type="band1Vert">
      <w:tblPr/>
      <w:tcPr>
        <w:shd w:val="clear" w:color="auto" w:fill="FDE39C" w:themeFill="accent3" w:themeFillTint="66"/>
      </w:tcPr>
    </w:tblStylePr>
    <w:tblStylePr w:type="band1Horz">
      <w:tblPr/>
      <w:tcPr>
        <w:shd w:val="clear" w:color="auto" w:fill="FDE39C" w:themeFill="accent3" w:themeFillTint="66"/>
      </w:tcPr>
    </w:tblStylePr>
  </w:style>
  <w:style w:type="table" w:styleId="GridTable1Light-Accent2">
    <w:name w:val="Grid Table 1 Light Accent 2"/>
    <w:basedOn w:val="TableNormal"/>
    <w:uiPriority w:val="46"/>
    <w:rsid w:val="00BB0A2E"/>
    <w:pPr>
      <w:spacing w:after="0" w:line="240" w:lineRule="auto"/>
    </w:pPr>
    <w:tblPr>
      <w:tblStyleRowBandSize w:val="1"/>
      <w:tblStyleColBandSize w:val="1"/>
      <w:tblBorders>
        <w:top w:val="single" w:sz="4" w:space="0" w:color="FDD59C" w:themeColor="accent2" w:themeTint="66"/>
        <w:left w:val="single" w:sz="4" w:space="0" w:color="FDD59C" w:themeColor="accent2" w:themeTint="66"/>
        <w:bottom w:val="single" w:sz="4" w:space="0" w:color="FDD59C" w:themeColor="accent2" w:themeTint="66"/>
        <w:right w:val="single" w:sz="4" w:space="0" w:color="FDD59C" w:themeColor="accent2" w:themeTint="66"/>
        <w:insideH w:val="single" w:sz="4" w:space="0" w:color="FDD59C" w:themeColor="accent2" w:themeTint="66"/>
        <w:insideV w:val="single" w:sz="4" w:space="0" w:color="FDD59C" w:themeColor="accent2" w:themeTint="66"/>
      </w:tblBorders>
    </w:tblPr>
    <w:tblStylePr w:type="firstRow">
      <w:rPr>
        <w:b/>
        <w:bCs/>
      </w:rPr>
      <w:tblPr/>
      <w:tcPr>
        <w:tcBorders>
          <w:bottom w:val="single" w:sz="12" w:space="0" w:color="FDC06A" w:themeColor="accent2" w:themeTint="99"/>
        </w:tcBorders>
      </w:tcPr>
    </w:tblStylePr>
    <w:tblStylePr w:type="lastRow">
      <w:rPr>
        <w:b/>
        <w:bCs/>
      </w:rPr>
      <w:tblPr/>
      <w:tcPr>
        <w:tcBorders>
          <w:top w:val="double" w:sz="2" w:space="0" w:color="FDC06A"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61BA1"/>
    <w:pPr>
      <w:spacing w:after="0" w:line="240" w:lineRule="auto"/>
    </w:pPr>
    <w:tblPr>
      <w:tblStyleRowBandSize w:val="1"/>
      <w:tblStyleColBandSize w:val="1"/>
      <w:tblBorders>
        <w:top w:val="single" w:sz="4" w:space="0" w:color="EA91B9" w:themeColor="accent4" w:themeTint="66"/>
        <w:left w:val="single" w:sz="4" w:space="0" w:color="EA91B9" w:themeColor="accent4" w:themeTint="66"/>
        <w:bottom w:val="single" w:sz="4" w:space="0" w:color="EA91B9" w:themeColor="accent4" w:themeTint="66"/>
        <w:right w:val="single" w:sz="4" w:space="0" w:color="EA91B9" w:themeColor="accent4" w:themeTint="66"/>
        <w:insideH w:val="single" w:sz="4" w:space="0" w:color="EA91B9" w:themeColor="accent4" w:themeTint="66"/>
        <w:insideV w:val="single" w:sz="4" w:space="0" w:color="EA91B9" w:themeColor="accent4" w:themeTint="66"/>
      </w:tblBorders>
    </w:tblPr>
    <w:tblStylePr w:type="firstRow">
      <w:rPr>
        <w:b/>
        <w:bCs/>
      </w:rPr>
      <w:tblPr/>
      <w:tcPr>
        <w:tcBorders>
          <w:bottom w:val="single" w:sz="12" w:space="0" w:color="E05A96" w:themeColor="accent4" w:themeTint="99"/>
        </w:tcBorders>
      </w:tcPr>
    </w:tblStylePr>
    <w:tblStylePr w:type="lastRow">
      <w:rPr>
        <w:b/>
        <w:bCs/>
      </w:rPr>
      <w:tblPr/>
      <w:tcPr>
        <w:tcBorders>
          <w:top w:val="double" w:sz="2" w:space="0" w:color="E05A9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61BA1"/>
    <w:pPr>
      <w:spacing w:after="0" w:line="240" w:lineRule="auto"/>
    </w:pPr>
    <w:tblPr>
      <w:tblStyleRowBandSize w:val="1"/>
      <w:tblStyleColBandSize w:val="1"/>
      <w:tblBorders>
        <w:top w:val="single" w:sz="4" w:space="0" w:color="A288D7" w:themeColor="accent5" w:themeTint="66"/>
        <w:left w:val="single" w:sz="4" w:space="0" w:color="A288D7" w:themeColor="accent5" w:themeTint="66"/>
        <w:bottom w:val="single" w:sz="4" w:space="0" w:color="A288D7" w:themeColor="accent5" w:themeTint="66"/>
        <w:right w:val="single" w:sz="4" w:space="0" w:color="A288D7" w:themeColor="accent5" w:themeTint="66"/>
        <w:insideH w:val="single" w:sz="4" w:space="0" w:color="A288D7" w:themeColor="accent5" w:themeTint="66"/>
        <w:insideV w:val="single" w:sz="4" w:space="0" w:color="A288D7" w:themeColor="accent5" w:themeTint="66"/>
      </w:tblBorders>
    </w:tblPr>
    <w:tblStylePr w:type="firstRow">
      <w:rPr>
        <w:b/>
        <w:bCs/>
      </w:rPr>
      <w:tblPr/>
      <w:tcPr>
        <w:tcBorders>
          <w:bottom w:val="single" w:sz="12" w:space="0" w:color="744DC3" w:themeColor="accent5" w:themeTint="99"/>
        </w:tcBorders>
      </w:tcPr>
    </w:tblStylePr>
    <w:tblStylePr w:type="lastRow">
      <w:rPr>
        <w:b/>
        <w:bCs/>
      </w:rPr>
      <w:tblPr/>
      <w:tcPr>
        <w:tcBorders>
          <w:top w:val="double" w:sz="2" w:space="0" w:color="744DC3"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61BA1"/>
    <w:pPr>
      <w:spacing w:after="0" w:line="240" w:lineRule="auto"/>
    </w:pPr>
    <w:tblPr>
      <w:tblStyleRowBandSize w:val="1"/>
      <w:tblStyleColBandSize w:val="1"/>
      <w:tblBorders>
        <w:top w:val="single" w:sz="4" w:space="0" w:color="A288D7" w:themeColor="accent6" w:themeTint="66"/>
        <w:left w:val="single" w:sz="4" w:space="0" w:color="A288D7" w:themeColor="accent6" w:themeTint="66"/>
        <w:bottom w:val="single" w:sz="4" w:space="0" w:color="A288D7" w:themeColor="accent6" w:themeTint="66"/>
        <w:right w:val="single" w:sz="4" w:space="0" w:color="A288D7" w:themeColor="accent6" w:themeTint="66"/>
        <w:insideH w:val="single" w:sz="4" w:space="0" w:color="A288D7" w:themeColor="accent6" w:themeTint="66"/>
        <w:insideV w:val="single" w:sz="4" w:space="0" w:color="A288D7" w:themeColor="accent6" w:themeTint="66"/>
      </w:tblBorders>
    </w:tblPr>
    <w:tblStylePr w:type="firstRow">
      <w:rPr>
        <w:b/>
        <w:bCs/>
      </w:rPr>
      <w:tblPr/>
      <w:tcPr>
        <w:tcBorders>
          <w:bottom w:val="single" w:sz="12" w:space="0" w:color="744DC3" w:themeColor="accent6" w:themeTint="99"/>
        </w:tcBorders>
      </w:tcPr>
    </w:tblStylePr>
    <w:tblStylePr w:type="lastRow">
      <w:rPr>
        <w:b/>
        <w:bCs/>
      </w:rPr>
      <w:tblPr/>
      <w:tcPr>
        <w:tcBorders>
          <w:top w:val="double" w:sz="2" w:space="0" w:color="744DC3" w:themeColor="accent6" w:themeTint="99"/>
        </w:tcBorders>
      </w:tcPr>
    </w:tblStylePr>
    <w:tblStylePr w:type="firstCol">
      <w:rPr>
        <w:b/>
        <w:bCs/>
      </w:rPr>
    </w:tblStylePr>
    <w:tblStylePr w:type="lastCol">
      <w:rPr>
        <w:b/>
        <w:bCs/>
      </w:rPr>
    </w:tblStylePr>
  </w:style>
  <w:style w:type="paragraph" w:styleId="BodyText">
    <w:name w:val="Body Text"/>
    <w:basedOn w:val="Normal"/>
    <w:link w:val="BodyTextChar"/>
    <w:uiPriority w:val="99"/>
    <w:unhideWhenUsed/>
    <w:rsid w:val="008B7144"/>
    <w:pPr>
      <w:spacing w:after="120" w:line="240" w:lineRule="auto"/>
    </w:pPr>
    <w:rPr>
      <w:rFonts w:ascii="Times New Roman" w:eastAsia="Times New Roman" w:hAnsi="Times New Roman" w:cs="Times New Roman"/>
      <w:kern w:val="0"/>
      <w:szCs w:val="20"/>
      <w:lang w:val="en-US"/>
      <w14:ligatures w14:val="none"/>
    </w:rPr>
  </w:style>
  <w:style w:type="character" w:customStyle="1" w:styleId="BodyTextChar">
    <w:name w:val="Body Text Char"/>
    <w:basedOn w:val="DefaultParagraphFont"/>
    <w:link w:val="BodyText"/>
    <w:uiPriority w:val="99"/>
    <w:rsid w:val="008B7144"/>
    <w:rPr>
      <w:rFonts w:ascii="Times New Roman" w:eastAsia="Times New Roman" w:hAnsi="Times New Roman" w:cs="Times New Roman"/>
      <w:kern w:val="0"/>
      <w:sz w:val="20"/>
      <w:szCs w:val="20"/>
      <w:lang w:val="en-US"/>
      <w14:ligatures w14:val="none"/>
    </w:rPr>
  </w:style>
  <w:style w:type="paragraph" w:styleId="BodyText3">
    <w:name w:val="Body Text 3"/>
    <w:basedOn w:val="Normal"/>
    <w:link w:val="BodyText3Char"/>
    <w:uiPriority w:val="99"/>
    <w:unhideWhenUsed/>
    <w:rsid w:val="008B7144"/>
    <w:pPr>
      <w:spacing w:after="120" w:line="276" w:lineRule="auto"/>
    </w:pPr>
    <w:rPr>
      <w:rFonts w:ascii="Calibri" w:eastAsia="Calibri" w:hAnsi="Calibri" w:cs="Times New Roman"/>
      <w:kern w:val="0"/>
      <w:sz w:val="16"/>
      <w:szCs w:val="16"/>
      <w:lang w:val="nl-BE"/>
      <w14:ligatures w14:val="none"/>
    </w:rPr>
  </w:style>
  <w:style w:type="character" w:customStyle="1" w:styleId="BodyText3Char">
    <w:name w:val="Body Text 3 Char"/>
    <w:basedOn w:val="DefaultParagraphFont"/>
    <w:link w:val="BodyText3"/>
    <w:uiPriority w:val="99"/>
    <w:rsid w:val="008B7144"/>
    <w:rPr>
      <w:rFonts w:ascii="Calibri" w:eastAsia="Calibri" w:hAnsi="Calibri" w:cs="Times New Roman"/>
      <w:kern w:val="0"/>
      <w:sz w:val="16"/>
      <w:szCs w:val="16"/>
      <w:lang w:val="nl-BE"/>
      <w14:ligatures w14:val="none"/>
    </w:rPr>
  </w:style>
  <w:style w:type="paragraph" w:styleId="ListParagraph">
    <w:name w:val="List Paragraph"/>
    <w:aliases w:val="Lijstalinea bullets,List Numbering,lp1,Paragraphe_DAT,numbered,Equipment,FooterText,List Paragraph Char Char,List Paragraph11,List Paragraph2,Number_1,SGLText List Paragraph,new,Normal Sentence,List Paragraph111,List 1 Paragraph,Table Txt"/>
    <w:basedOn w:val="Normal"/>
    <w:link w:val="ListParagraphChar"/>
    <w:uiPriority w:val="34"/>
    <w:qFormat/>
    <w:rsid w:val="008B7144"/>
    <w:pPr>
      <w:spacing w:after="240" w:line="240" w:lineRule="auto"/>
      <w:ind w:left="720"/>
      <w:contextualSpacing/>
      <w:jc w:val="both"/>
    </w:pPr>
    <w:rPr>
      <w:kern w:val="0"/>
      <w:lang w:val="nl-BE"/>
      <w14:ligatures w14:val="none"/>
    </w:rPr>
  </w:style>
  <w:style w:type="character" w:styleId="Hyperlink">
    <w:name w:val="Hyperlink"/>
    <w:basedOn w:val="DefaultParagraphFont"/>
    <w:uiPriority w:val="99"/>
    <w:unhideWhenUsed/>
    <w:rsid w:val="00D9418C"/>
    <w:rPr>
      <w:color w:val="FC5B00" w:themeColor="hyperlink"/>
      <w:u w:val="single"/>
    </w:rPr>
  </w:style>
  <w:style w:type="character" w:styleId="UnresolvedMention">
    <w:name w:val="Unresolved Mention"/>
    <w:basedOn w:val="DefaultParagraphFont"/>
    <w:uiPriority w:val="99"/>
    <w:semiHidden/>
    <w:unhideWhenUsed/>
    <w:rsid w:val="00D9418C"/>
    <w:rPr>
      <w:color w:val="605E5C"/>
      <w:shd w:val="clear" w:color="auto" w:fill="E1DFDD"/>
    </w:rPr>
  </w:style>
  <w:style w:type="paragraph" w:customStyle="1" w:styleId="paragraph">
    <w:name w:val="paragraph"/>
    <w:basedOn w:val="Normal"/>
    <w:rsid w:val="00FF03EE"/>
    <w:pPr>
      <w:spacing w:before="100" w:beforeAutospacing="1" w:after="100" w:afterAutospacing="1" w:line="240" w:lineRule="auto"/>
    </w:pPr>
    <w:rPr>
      <w:rFonts w:ascii="Times New Roman" w:eastAsia="Times New Roman" w:hAnsi="Times New Roman" w:cs="Times New Roman"/>
      <w:kern w:val="0"/>
      <w:sz w:val="24"/>
      <w:szCs w:val="24"/>
      <w:lang w:val="nl-BE" w:eastAsia="nl-BE"/>
      <w14:ligatures w14:val="none"/>
    </w:rPr>
  </w:style>
  <w:style w:type="character" w:customStyle="1" w:styleId="normaltextrun">
    <w:name w:val="normaltextrun"/>
    <w:basedOn w:val="DefaultParagraphFont"/>
    <w:rsid w:val="00FF03EE"/>
  </w:style>
  <w:style w:type="character" w:customStyle="1" w:styleId="eop">
    <w:name w:val="eop"/>
    <w:basedOn w:val="DefaultParagraphFont"/>
    <w:rsid w:val="00FF03EE"/>
  </w:style>
  <w:style w:type="character" w:customStyle="1" w:styleId="ListParagraphChar">
    <w:name w:val="List Paragraph Char"/>
    <w:aliases w:val="Lijstalinea bullets Char,List Numbering Char,lp1 Char,Paragraphe_DAT Char,numbered Char,Equipment Char,FooterText Char,List Paragraph Char Char Char,List Paragraph11 Char,List Paragraph2 Char,Number_1 Char,SGLText List Paragraph Char"/>
    <w:basedOn w:val="DefaultParagraphFont"/>
    <w:link w:val="ListParagraph"/>
    <w:uiPriority w:val="34"/>
    <w:rsid w:val="00FF03EE"/>
    <w:rPr>
      <w:rFonts w:ascii="Tahoma" w:hAnsi="Tahoma"/>
      <w:kern w:val="0"/>
      <w:sz w:val="20"/>
      <w:lang w:val="nl-BE"/>
      <w14:ligatures w14:val="none"/>
    </w:rPr>
  </w:style>
  <w:style w:type="paragraph" w:styleId="NoSpacing">
    <w:name w:val="No Spacing"/>
    <w:uiPriority w:val="1"/>
    <w:qFormat/>
    <w:rsid w:val="00FF03EE"/>
    <w:pPr>
      <w:spacing w:after="0" w:line="240" w:lineRule="auto"/>
    </w:pPr>
  </w:style>
  <w:style w:type="paragraph" w:styleId="Revision">
    <w:name w:val="Revision"/>
    <w:hidden/>
    <w:uiPriority w:val="99"/>
    <w:semiHidden/>
    <w:rsid w:val="004409E8"/>
    <w:pPr>
      <w:spacing w:after="0" w:line="240" w:lineRule="auto"/>
    </w:pPr>
    <w:rPr>
      <w:rFonts w:ascii="Tahoma" w:hAnsi="Tahom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389628">
      <w:bodyDiv w:val="1"/>
      <w:marLeft w:val="0"/>
      <w:marRight w:val="0"/>
      <w:marTop w:val="0"/>
      <w:marBottom w:val="0"/>
      <w:divBdr>
        <w:top w:val="none" w:sz="0" w:space="0" w:color="auto"/>
        <w:left w:val="none" w:sz="0" w:space="0" w:color="auto"/>
        <w:bottom w:val="none" w:sz="0" w:space="0" w:color="auto"/>
        <w:right w:val="none" w:sz="0" w:space="0" w:color="auto"/>
      </w:divBdr>
      <w:divsChild>
        <w:div w:id="1008337703">
          <w:marLeft w:val="0"/>
          <w:marRight w:val="0"/>
          <w:marTop w:val="0"/>
          <w:marBottom w:val="0"/>
          <w:divBdr>
            <w:top w:val="none" w:sz="0" w:space="0" w:color="auto"/>
            <w:left w:val="none" w:sz="0" w:space="0" w:color="auto"/>
            <w:bottom w:val="none" w:sz="0" w:space="0" w:color="auto"/>
            <w:right w:val="none" w:sz="0" w:space="0" w:color="auto"/>
          </w:divBdr>
        </w:div>
        <w:div w:id="1979141069">
          <w:marLeft w:val="0"/>
          <w:marRight w:val="0"/>
          <w:marTop w:val="0"/>
          <w:marBottom w:val="0"/>
          <w:divBdr>
            <w:top w:val="none" w:sz="0" w:space="0" w:color="auto"/>
            <w:left w:val="none" w:sz="0" w:space="0" w:color="auto"/>
            <w:bottom w:val="none" w:sz="0" w:space="0" w:color="auto"/>
            <w:right w:val="none" w:sz="0" w:space="0" w:color="auto"/>
          </w:divBdr>
        </w:div>
      </w:divsChild>
    </w:div>
    <w:div w:id="91547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14" Type="http://schemas.openxmlformats.org/officeDocument/2006/relationships/header" Target="header1.xml"/><Relationship Id="rId9"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eVanackere\AppData\Local\Temp\Templafy\WordVsto\element61%20Word.dotx" TargetMode="External"/></Relationships>
</file>

<file path=word/theme/theme1.xml><?xml version="1.0" encoding="utf-8"?>
<a:theme xmlns:a="http://schemas.openxmlformats.org/drawingml/2006/main" name="Office Theme">
  <a:themeElements>
    <a:clrScheme name="element61">
      <a:dk1>
        <a:sysClr val="windowText" lastClr="000000"/>
      </a:dk1>
      <a:lt1>
        <a:sysClr val="window" lastClr="FFFFFF"/>
      </a:lt1>
      <a:dk2>
        <a:srgbClr val="301D56"/>
      </a:dk2>
      <a:lt2>
        <a:srgbClr val="E7E6E6"/>
      </a:lt2>
      <a:accent1>
        <a:srgbClr val="FC5B00"/>
      </a:accent1>
      <a:accent2>
        <a:srgbClr val="FC9808"/>
      </a:accent2>
      <a:accent3>
        <a:srgbClr val="FCBA08"/>
      </a:accent3>
      <a:accent4>
        <a:srgbClr val="9D1D56"/>
      </a:accent4>
      <a:accent5>
        <a:srgbClr val="301D56"/>
      </a:accent5>
      <a:accent6>
        <a:srgbClr val="301D56"/>
      </a:accent6>
      <a:hlink>
        <a:srgbClr val="FC5B00"/>
      </a:hlink>
      <a:folHlink>
        <a:srgbClr val="FC5B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8B3DEA67DB6D438B228A4CB58F38CF" ma:contentTypeVersion="3" ma:contentTypeDescription="Create a new document." ma:contentTypeScope="" ma:versionID="48f525f7e8c56c3856783fec8270e7be">
  <xsd:schema xmlns:xsd="http://www.w3.org/2001/XMLSchema" xmlns:xs="http://www.w3.org/2001/XMLSchema" xmlns:p="http://schemas.microsoft.com/office/2006/metadata/properties" xmlns:ns2="7f88c537-cee0-4ac9-b608-368aa7bf5a4f" targetNamespace="http://schemas.microsoft.com/office/2006/metadata/properties" ma:root="true" ma:fieldsID="c0492497032b8bfd535246e02befca2a" ns2:_="">
    <xsd:import namespace="7f88c537-cee0-4ac9-b608-368aa7bf5a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8c537-cee0-4ac9-b608-368aa7bf5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fyFormConfiguration><![CDATA[{"formFields":[],"formDataEntries":[]}]]></TemplafyFormConfiguration>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TemplafyTemplateConfiguration><![CDATA[{"elementsMetadata":[],"transformationConfigurations":[],"templateName":"YYYY MM DD Sales Order Form","templateDescription":"","enableDocumentContentUpdater":false,"version":"2.0"}]]></TemplafyTemplateConfiguration>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0ACFC-448B-41F1-A36C-9EFB8FCB9155}">
  <ds:schemaRefs>
    <ds:schemaRef ds:uri="http://schemas.microsoft.com/sharepoint/v3/contenttype/forms"/>
  </ds:schemaRefs>
</ds:datastoreItem>
</file>

<file path=customXml/itemProps2.xml><?xml version="1.0" encoding="utf-8"?>
<ds:datastoreItem xmlns:ds="http://schemas.openxmlformats.org/officeDocument/2006/customXml" ds:itemID="{9A1F464C-1FB6-4AAB-913C-BF6951BCE4F1}"/>
</file>

<file path=customXml/itemProps3.xml><?xml version="1.0" encoding="utf-8"?>
<ds:datastoreItem xmlns:ds="http://schemas.openxmlformats.org/officeDocument/2006/customXml" ds:itemID="{6F10F4D2-9D7F-4DD0-A028-3A32E6AE01B7}">
  <ds:schemaRefs/>
</ds:datastoreItem>
</file>

<file path=customXml/itemProps4.xml><?xml version="1.0" encoding="utf-8"?>
<ds:datastoreItem xmlns:ds="http://schemas.openxmlformats.org/officeDocument/2006/customXml" ds:itemID="{5DF4B192-FDB2-4E4D-89C5-02EFD63998CE}">
  <ds:schemaRefs>
    <ds:schemaRef ds:uri="http://schemas.microsoft.com/sharepoint/events"/>
  </ds:schemaRefs>
</ds:datastoreItem>
</file>

<file path=customXml/itemProps5.xml><?xml version="1.0" encoding="utf-8"?>
<ds:datastoreItem xmlns:ds="http://schemas.openxmlformats.org/officeDocument/2006/customXml" ds:itemID="{317D3610-57D9-4CCC-B5BC-723226B6891E}">
  <ds:schemaRefs/>
</ds:datastoreItem>
</file>

<file path=customXml/itemProps6.xml><?xml version="1.0" encoding="utf-8"?>
<ds:datastoreItem xmlns:ds="http://schemas.openxmlformats.org/officeDocument/2006/customXml" ds:itemID="{F04E5BE9-6D5F-4A45-A3AA-C4978796494C}">
  <ds:schemaRefs>
    <ds:schemaRef ds:uri="http://schemas.microsoft.com/office/2006/metadata/properties"/>
    <ds:schemaRef ds:uri="http://schemas.microsoft.com/office/infopath/2007/PartnerControls"/>
    <ds:schemaRef ds:uri="dbcbe123-0977-4a50-8856-f318fba8c27d"/>
    <ds:schemaRef ds:uri="9bc286ca-5e05-402d-bdfb-8f8ede31cb0a"/>
  </ds:schemaRefs>
</ds:datastoreItem>
</file>

<file path=customXml/itemProps7.xml><?xml version="1.0" encoding="utf-8"?>
<ds:datastoreItem xmlns:ds="http://schemas.openxmlformats.org/officeDocument/2006/customXml" ds:itemID="{8BEE76C8-85A5-4303-B56E-7FDB23D5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element61 Word</Template>
  <TotalTime>0</TotalTime>
  <Pages>6</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element61 Word</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element61 Word</dc:title>
  <dc:subject/>
  <dc:creator>Julie Vanackere</dc:creator>
  <cp:keywords/>
  <dc:description/>
  <cp:lastModifiedBy>Julie Vanackere</cp:lastModifiedBy>
  <cp:revision>1</cp:revision>
  <dcterms:created xsi:type="dcterms:W3CDTF">2026-07-01T11:36:00Z</dcterms:created>
  <dcterms:modified xsi:type="dcterms:W3CDTF">2026-07-01T11:36:00Z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c0345dab-897a-48dc-a6bf-ca0b753f9f59</vt:lpwstr>
  </property>
  <property fmtid="{D5CDD505-2E9C-101B-9397-08002B2CF9AE}" pid="3" name="ContentTypeId">
    <vt:lpwstr>0x010100068B3DEA67DB6D438B228A4CB58F38CF</vt:lpwstr>
  </property>
  <property fmtid="{D5CDD505-2E9C-101B-9397-08002B2CF9AE}" pid="4" name="_dlc_DocIdItemGuid">
    <vt:lpwstr>99aeff72-374e-4142-aba1-08815cf9a9ee</vt:lpwstr>
  </property>
  <property fmtid="{D5CDD505-2E9C-101B-9397-08002B2CF9AE}" pid="5" name="MediaServiceImageTags">
    <vt:lpwstr/>
  </property>
  <property fmtid="{D5CDD505-2E9C-101B-9397-08002B2CF9AE}" pid="6" name="TemplafyTenantId">
    <vt:lpwstr>element61</vt:lpwstr>
  </property>
  <property fmtid="{D5CDD505-2E9C-101B-9397-08002B2CF9AE}" pid="7" name="TemplafyTemplateId">
    <vt:lpwstr>887936952725405696</vt:lpwstr>
  </property>
  <property fmtid="{D5CDD505-2E9C-101B-9397-08002B2CF9AE}" pid="8" name="TemplafyUserProfileId">
    <vt:lpwstr>897672405809627381</vt:lpwstr>
  </property>
  <property fmtid="{D5CDD505-2E9C-101B-9397-08002B2CF9AE}" pid="9" name="TemplafyFromBlank">
    <vt:bool>false</vt:bool>
  </property>
</Properties>
</file>