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2B3A" w14:textId="7A3AAA3D" w:rsidR="000052DF" w:rsidRDefault="00F66271">
      <w:r>
        <w:t>Hodkin-Huxley</w:t>
      </w:r>
    </w:p>
    <w:sectPr w:rsidR="000052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71"/>
    <w:rsid w:val="000052DF"/>
    <w:rsid w:val="00F6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4425"/>
  <w15:chartTrackingRefBased/>
  <w15:docId w15:val="{7D5E314E-DA65-4479-872A-3E626736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Stefanos Charakidis</dc:creator>
  <cp:keywords/>
  <dc:description/>
  <cp:lastModifiedBy>Stefanos Charakidis</cp:lastModifiedBy>
  <cp:revision>1</cp:revision>
  <dcterms:created xsi:type="dcterms:W3CDTF">2022-02-01T17:19:00Z</dcterms:created>
  <dcterms:modified xsi:type="dcterms:W3CDTF">2022-02-01T17:19:00Z</dcterms:modified>
</cp:coreProperties>
</file>