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775" w:rsidRDefault="00701775" w:rsidP="00B65A84">
      <w:pPr>
        <w:pStyle w:val="Heading1"/>
      </w:pPr>
      <w:r>
        <w:t>2 Methods</w:t>
      </w:r>
    </w:p>
    <w:p w:rsidR="00C54F9F" w:rsidRDefault="00C54F9F" w:rsidP="00B65A84">
      <w:pPr>
        <w:pStyle w:val="Heading2"/>
      </w:pPr>
      <w:r>
        <w:t>Problem setting</w:t>
      </w:r>
    </w:p>
    <w:p w:rsidR="006D5FC2" w:rsidRDefault="00C54F9F" w:rsidP="00B65A84">
      <w:pPr>
        <w:spacing w:line="360" w:lineRule="auto"/>
      </w:pPr>
      <w:r>
        <w:tab/>
        <w:t xml:space="preserve">We cast the current task of determining facial attractiveness as a </w:t>
      </w:r>
      <w:r w:rsidRPr="003D21F0">
        <w:rPr>
          <w:i/>
        </w:rPr>
        <w:t>supervised learning problem</w:t>
      </w:r>
      <w:r>
        <w:t>. Therefore, a successful supervised learning algorithm should be able to, given an input image of a face, provide a reasonable measure of attractiveness, as specified by the training data. Indeed, this is the approach taken by most previous research endeavors (</w:t>
      </w:r>
      <w:proofErr w:type="spellStart"/>
      <w:r>
        <w:t>Altwaijry</w:t>
      </w:r>
      <w:proofErr w:type="spellEnd"/>
      <w:r>
        <w:t xml:space="preserve"> &amp; </w:t>
      </w:r>
      <w:proofErr w:type="spellStart"/>
      <w:r w:rsidRPr="003D21F0">
        <w:t>Belongie</w:t>
      </w:r>
      <w:proofErr w:type="spellEnd"/>
      <w:r>
        <w:t xml:space="preserve">, 2013; Fan et al., 2012).  </w:t>
      </w:r>
    </w:p>
    <w:p w:rsidR="006D5FC2" w:rsidRDefault="00C54F9F" w:rsidP="00B65A84">
      <w:pPr>
        <w:spacing w:line="360" w:lineRule="auto"/>
        <w:ind w:firstLine="720"/>
      </w:pPr>
      <w:r>
        <w:t xml:space="preserve">Since attractiveness, considered as the “ground truth” of the task, is not an inherent property of a face, but rather an external value judgement, the labeling of faces is not included </w:t>
      </w:r>
      <w:r w:rsidRPr="003D21F0">
        <w:rPr>
          <w:i/>
        </w:rPr>
        <w:t>per se</w:t>
      </w:r>
      <w:r>
        <w:t xml:space="preserve">, but has to be performed by a human. Moreover, while most other supervised learning problems have unambiguous assignment of labels (there is little disagreement among human observers whether a cat or a dog is present in a picture), attractiveness has to be judged on an arbitrary scale. Additionally, even though objective criteria for attractiveness or </w:t>
      </w:r>
      <w:r w:rsidRPr="00E53DFE">
        <w:rPr>
          <w:i/>
        </w:rPr>
        <w:t>beauty</w:t>
      </w:r>
      <w:r>
        <w:t xml:space="preserve"> can be found across cultures (Little et al., 2011; Jones &amp; Hill, 1993), unique subjective tastes or preferences has to address. Thus, the concept of a </w:t>
      </w:r>
      <w:r w:rsidRPr="008F7E06">
        <w:rPr>
          <w:i/>
        </w:rPr>
        <w:t>universal attractiveness learner</w:t>
      </w:r>
      <w:r>
        <w:t xml:space="preserve"> seems untenable. </w:t>
      </w:r>
    </w:p>
    <w:p w:rsidR="00C54F9F" w:rsidRDefault="00C54F9F" w:rsidP="00B65A84">
      <w:pPr>
        <w:spacing w:line="360" w:lineRule="auto"/>
        <w:ind w:firstLine="720"/>
      </w:pPr>
      <w:r>
        <w:t>A more flexible and useful, albeit computationally extensive, method is to come up with a general architecture of a model, which can be re-trained for each individual observer (e.g., a user in a dating site) given a reasonably large number of input-output pairs in the form of images as inputs and corresponding judgements of attractiveness as outputs. Consequently, this is the approach we will take in the current work.</w:t>
      </w:r>
    </w:p>
    <w:p w:rsidR="00C54F9F" w:rsidRDefault="00C54F9F" w:rsidP="00B65A84">
      <w:pPr>
        <w:pStyle w:val="Heading2"/>
      </w:pPr>
      <w:r>
        <w:t>Data preparation</w:t>
      </w:r>
    </w:p>
    <w:p w:rsidR="00C54F9F" w:rsidRDefault="00C54F9F" w:rsidP="00B65A84">
      <w:pPr>
        <w:spacing w:line="360" w:lineRule="auto"/>
        <w:ind w:firstLine="720"/>
      </w:pPr>
      <w:r>
        <w:t>In order to gather a sufficiently large, and, at the same time, realistic data set of faces, we used images from two publicly available databases, namely, the 10k US Adult Faces Database (</w:t>
      </w:r>
      <w:r w:rsidRPr="00351BB2">
        <w:t>Bainbridge</w:t>
      </w:r>
      <w:r>
        <w:t xml:space="preserve"> et al., 2013), and the Labelled Faces in The Wild Database (Huang et al., 2007). From these combined sources, we filtered out 650 male and 650 female faces of people aged between 18 – 30 </w:t>
      </w:r>
      <w:r w:rsidR="007828F3">
        <w:t>years</w:t>
      </w:r>
      <w:r>
        <w:t xml:space="preserve">. Filtering was performed using both an automatic procedure, and visual inspection to correct for labeling errors present in the </w:t>
      </w:r>
      <w:r>
        <w:lastRenderedPageBreak/>
        <w:t xml:space="preserve">annotations. </w:t>
      </w:r>
      <w:r w:rsidR="000230EA">
        <w:t xml:space="preserve">Before using the images as input to the model, pixel </w:t>
      </w:r>
      <w:r w:rsidR="005E137D">
        <w:t>intensities were normalized to 0 – 1 range.</w:t>
      </w:r>
      <w:r w:rsidR="000230EA">
        <w:t xml:space="preserve"> </w:t>
      </w:r>
      <w:r>
        <w:t xml:space="preserve">After this, each of the authors rated the images of opposite sex faces on a scale from 0 to 5 (0 indexing the subjectively felt complete lack of attractiveness, and 5 representing the subjective ideal of attractiveness) with a single decimal place allowed for more subtle differentiation of judgement. 50 images were kept separate as a test set, so a total of 600 images were included in the final training set. </w:t>
      </w:r>
      <w:r w:rsidR="00B31863">
        <w:t xml:space="preserve">Histograms of the ratings of the three authors are given in </w:t>
      </w:r>
      <w:r w:rsidR="00B31863" w:rsidRPr="00B31863">
        <w:rPr>
          <w:b/>
        </w:rPr>
        <w:t>Figure 1</w:t>
      </w:r>
      <w:r w:rsidR="00B31863">
        <w:t>.</w:t>
      </w:r>
    </w:p>
    <w:p w:rsidR="00205696" w:rsidRDefault="00205696" w:rsidP="00B65A84">
      <w:pPr>
        <w:pStyle w:val="Heading2"/>
      </w:pPr>
      <w:r>
        <w:t>Data Augmentation</w:t>
      </w:r>
    </w:p>
    <w:p w:rsidR="00205696" w:rsidRDefault="00205696" w:rsidP="00B65A84">
      <w:pPr>
        <w:spacing w:line="360" w:lineRule="auto"/>
      </w:pPr>
      <w:r>
        <w:tab/>
        <w:t xml:space="preserve">Data augmentation is a popular approach in machine learning and computer vision. It consists of a set of techniques for generating more training data by means </w:t>
      </w:r>
      <w:r w:rsidR="001002B0">
        <w:t>of various</w:t>
      </w:r>
      <w:r>
        <w:t xml:space="preserve"> random transformations applied to already available training samples.</w:t>
      </w:r>
      <w:r w:rsidR="000230EA">
        <w:t xml:space="preserve"> Even though t</w:t>
      </w:r>
      <w:r w:rsidR="005E137D">
        <w:t>his method</w:t>
      </w:r>
      <w:r w:rsidR="000230EA">
        <w:t xml:space="preserve"> does not produce genuinely new examples from the true distribution “out there”</w:t>
      </w:r>
      <w:r w:rsidR="005E137D">
        <w:t>, it confronts</w:t>
      </w:r>
      <w:r w:rsidR="000230EA">
        <w:t xml:space="preserve"> the model with different perspectives on the data and thus enhances generalization performance (</w:t>
      </w:r>
      <w:proofErr w:type="spellStart"/>
      <w:r w:rsidR="000230EA">
        <w:t>Chollet</w:t>
      </w:r>
      <w:proofErr w:type="spellEnd"/>
      <w:r w:rsidR="000230EA">
        <w:t xml:space="preserve">, 2008). </w:t>
      </w:r>
    </w:p>
    <w:p w:rsidR="000230EA" w:rsidRPr="00205696" w:rsidRDefault="0027712E" w:rsidP="00B65A84">
      <w:pPr>
        <w:spacing w:line="360" w:lineRule="auto"/>
      </w:pPr>
      <w:r>
        <w:tab/>
        <w:t>For the current task</w:t>
      </w:r>
      <w:r w:rsidR="000230EA">
        <w:t>, we applied the following transformations to the</w:t>
      </w:r>
      <w:r w:rsidR="005E137D">
        <w:t xml:space="preserve"> data: images were rotated within a range from 0 to 40 degrees; shifted upwards or downwards by a factor ranging between 0 and .2; sheared by a factor ranging between 0 and .2; zoomed by a factor between 0 and .2; and horizontally flipped with probability .5.</w:t>
      </w:r>
      <w:r>
        <w:t xml:space="preserve"> All transformation types were applied simultaneously</w:t>
      </w:r>
      <w:r w:rsidR="00441315">
        <w:t xml:space="preserve"> to each image. This ensured that, in each epoch, the model </w:t>
      </w:r>
      <w:r w:rsidR="00757F76">
        <w:t>never observed</w:t>
      </w:r>
      <w:r w:rsidR="00441315">
        <w:t xml:space="preserve"> the same image twice. </w:t>
      </w:r>
    </w:p>
    <w:p w:rsidR="00371779" w:rsidRPr="00371779" w:rsidRDefault="00371779" w:rsidP="00B65A84">
      <w:pPr>
        <w:pStyle w:val="Heading2"/>
      </w:pPr>
      <w:r>
        <w:t>Regression versus classification</w:t>
      </w:r>
    </w:p>
    <w:p w:rsidR="005F0F91" w:rsidRDefault="00371779" w:rsidP="00B65A84">
      <w:pPr>
        <w:spacing w:line="360" w:lineRule="auto"/>
        <w:ind w:firstLine="720"/>
      </w:pPr>
      <w:r>
        <w:t xml:space="preserve">Before </w:t>
      </w:r>
      <w:r w:rsidR="007C7AEF">
        <w:t xml:space="preserve">specifying a model to train </w:t>
      </w:r>
      <w:r>
        <w:t xml:space="preserve">on the prepared data, one more relevant question had to be resolved, namely, whether to treat the ratings as </w:t>
      </w:r>
      <w:r w:rsidR="007C7AEF">
        <w:t xml:space="preserve">a </w:t>
      </w:r>
      <w:r>
        <w:t xml:space="preserve">continuous or </w:t>
      </w:r>
      <w:r w:rsidR="007C7AEF">
        <w:t>a categorical variable</w:t>
      </w:r>
      <w:r>
        <w:t>. This</w:t>
      </w:r>
      <w:r w:rsidR="007C7AEF">
        <w:t xml:space="preserve"> decision inevitably determines whether to use a regression or a classification algorithm respectively. Technically, the </w:t>
      </w:r>
      <w:r w:rsidR="005F1032">
        <w:t>present</w:t>
      </w:r>
      <w:r w:rsidR="007C7AEF">
        <w:t xml:space="preserve"> operationalization of attractiveness</w:t>
      </w:r>
      <w:r w:rsidR="005F1032">
        <w:t xml:space="preserve"> </w:t>
      </w:r>
      <w:r w:rsidR="007C7AEF">
        <w:t xml:space="preserve">is merely a </w:t>
      </w:r>
      <w:r w:rsidR="005F1032">
        <w:t>more fine-grained version of the proverbial Likert scale (</w:t>
      </w:r>
      <w:r w:rsidR="005F1032" w:rsidRPr="005F1032">
        <w:t>Jamieson</w:t>
      </w:r>
      <w:r w:rsidR="005F1032">
        <w:t xml:space="preserve">, 2004). </w:t>
      </w:r>
      <w:r w:rsidR="00A61BA9">
        <w:t xml:space="preserve">As such, the controversy surrounding the </w:t>
      </w:r>
      <w:r w:rsidR="00A61BA9" w:rsidRPr="00A61BA9">
        <w:rPr>
          <w:i/>
        </w:rPr>
        <w:t>status quo</w:t>
      </w:r>
      <w:r w:rsidR="00A61BA9">
        <w:t xml:space="preserve"> of Likert scales applies equally well here. Despite representing a set of ordered categories, data generated by Likert scales are routinely treated as</w:t>
      </w:r>
      <w:r w:rsidR="005F0F91">
        <w:t xml:space="preserve"> being measured on an</w:t>
      </w:r>
      <w:r w:rsidR="00A61BA9">
        <w:t xml:space="preserve"> </w:t>
      </w:r>
      <w:r w:rsidR="00086DF1">
        <w:t xml:space="preserve">interval or </w:t>
      </w:r>
      <w:r w:rsidR="005F0F91">
        <w:t xml:space="preserve">an </w:t>
      </w:r>
      <w:r w:rsidR="005F0F91">
        <w:lastRenderedPageBreak/>
        <w:t>absolute scale</w:t>
      </w:r>
      <w:r w:rsidR="00086DF1">
        <w:t xml:space="preserve">. </w:t>
      </w:r>
      <w:r w:rsidR="005F0F91">
        <w:t xml:space="preserve">Thus, the most appropriate approach appears to be </w:t>
      </w:r>
      <w:r w:rsidR="005F0F91" w:rsidRPr="005F0F91">
        <w:rPr>
          <w:i/>
        </w:rPr>
        <w:t>ordinal regression</w:t>
      </w:r>
      <w:r w:rsidR="005F0F91">
        <w:t xml:space="preserve"> (Cheng, 2007). </w:t>
      </w:r>
    </w:p>
    <w:p w:rsidR="00371779" w:rsidRPr="00C54F9F" w:rsidRDefault="005F0F91" w:rsidP="00B65A84">
      <w:pPr>
        <w:spacing w:line="360" w:lineRule="auto"/>
        <w:ind w:firstLine="720"/>
      </w:pPr>
      <w:r>
        <w:t xml:space="preserve">Nevertheless, it is certainly debatable whether the underlying construct of interest, i.e. attractiveness, is not optimally represented along a continuous dimension with an arbitrary degree of precision. However, since the focus of the present work is the </w:t>
      </w:r>
      <w:r w:rsidRPr="005F0F91">
        <w:rPr>
          <w:i/>
        </w:rPr>
        <w:t>practical utility</w:t>
      </w:r>
      <w:r>
        <w:t xml:space="preserve"> of </w:t>
      </w:r>
      <w:r w:rsidR="00EE4EB2">
        <w:t>predicting facial attractiveness, we can, provisionally, set aside the theoretical issues, and experiment with three different approaches: 1) treating the ratings as continuous real valued numbers and performing ordinary regression; 2) treating the ratings as categories by rounding them to integer numbers (0, 1, 2, 3, 4, 5) without considering any inherent ordering, and performing traditional multiclass classification; 3) treating the ratings as ordered categories (0 &lt; 1 &lt; 2 &lt; 3 &lt; 4 &lt; 5, again,</w:t>
      </w:r>
      <w:r w:rsidR="00205696">
        <w:t xml:space="preserve"> encoded</w:t>
      </w:r>
      <w:r w:rsidR="00EE4EB2">
        <w:t xml:space="preserve"> as integer numbers), and performing ordinal regression. </w:t>
      </w:r>
    </w:p>
    <w:p w:rsidR="00EC7E2A" w:rsidRPr="00341672" w:rsidRDefault="003B530C" w:rsidP="00B65A84">
      <w:pPr>
        <w:pStyle w:val="Heading2"/>
      </w:pPr>
      <w:r w:rsidRPr="00341672">
        <w:t>Using a pre-trained network</w:t>
      </w:r>
    </w:p>
    <w:p w:rsidR="003B530C" w:rsidRDefault="003B530C" w:rsidP="00B65A84">
      <w:pPr>
        <w:spacing w:line="360" w:lineRule="auto"/>
        <w:ind w:firstLine="720"/>
      </w:pPr>
      <w:r>
        <w:t xml:space="preserve">Since training an entire convolutional networks from scratch is a costly process that requires both a sufficient amount of computational power and a large enough dataset to capture the relationship between images and ratings, we opted for </w:t>
      </w:r>
      <w:r>
        <w:rPr>
          <w:i/>
        </w:rPr>
        <w:t xml:space="preserve">transfer learning. </w:t>
      </w:r>
      <w:r w:rsidRPr="003B530C">
        <w:t xml:space="preserve">Transfer learning </w:t>
      </w:r>
      <w:r>
        <w:t>refers to the process of “borrowing” the layers of a previously trained (pre</w:t>
      </w:r>
      <w:r w:rsidR="00C51145">
        <w:t>-trained) neural network, typically implemented for a similar task or</w:t>
      </w:r>
      <w:r w:rsidR="00371779">
        <w:t xml:space="preserve"> in a similar</w:t>
      </w:r>
      <w:r w:rsidR="00C51145">
        <w:t xml:space="preserve"> domain. Since convolution</w:t>
      </w:r>
      <w:r w:rsidR="00F360F9">
        <w:t>al</w:t>
      </w:r>
      <w:r w:rsidR="00C51145">
        <w:t xml:space="preserve"> networks can be conceptualized as hierarchical feature extractors, the spatial hierarchy of features learned by the pre-trained network can be thought to represent a generic model for the visual world (</w:t>
      </w:r>
      <w:proofErr w:type="spellStart"/>
      <w:r w:rsidR="00C51145">
        <w:t>Chollet</w:t>
      </w:r>
      <w:proofErr w:type="spellEnd"/>
      <w:r w:rsidR="00C51145">
        <w:t>, 2018</w:t>
      </w:r>
      <w:r w:rsidR="00902281">
        <w:t xml:space="preserve">; </w:t>
      </w:r>
      <w:proofErr w:type="spellStart"/>
      <w:r w:rsidR="00902281">
        <w:t>Goodfellow</w:t>
      </w:r>
      <w:proofErr w:type="spellEnd"/>
      <w:r w:rsidR="00902281">
        <w:t xml:space="preserve"> et al., 2016</w:t>
      </w:r>
      <w:r w:rsidR="00C51145">
        <w:t>). Needless to say, this transferability is a unique advantage of deep learning models compared to shallow models.</w:t>
      </w:r>
    </w:p>
    <w:p w:rsidR="00603F60" w:rsidRDefault="00C51145" w:rsidP="00B65A84">
      <w:pPr>
        <w:spacing w:line="360" w:lineRule="auto"/>
        <w:ind w:firstLine="720"/>
      </w:pPr>
      <w:r>
        <w:t xml:space="preserve">If a pre-trained network is available for a given task, the next question that arises </w:t>
      </w:r>
      <w:r w:rsidR="00902281">
        <w:t>i</w:t>
      </w:r>
      <w:r>
        <w:t xml:space="preserve">s whether to use the network as a fixed feature extractor or fine-tune its weights along the new application. Unsurprisingly, this decision depends largely on the peculiarities of the task at hand. </w:t>
      </w:r>
      <w:r w:rsidR="003D21F0">
        <w:t>As already mentioned above, facial attractiveness can be viewed</w:t>
      </w:r>
      <w:r w:rsidR="00902281">
        <w:t xml:space="preserve"> as a value judgement of different facial features and combinations of features (Little et al., 2011), it is reasonable to suggest that a facial attractiveness classifier would utilize these </w:t>
      </w:r>
      <w:r w:rsidR="00902281">
        <w:lastRenderedPageBreak/>
        <w:t>features during training in order to capture the statistical regularities in a person’s judgement. Therefore, we opted for the option of applying a fixed feature extractor to the current task.</w:t>
      </w:r>
    </w:p>
    <w:p w:rsidR="00902281" w:rsidRDefault="00902281" w:rsidP="00B65A84">
      <w:pPr>
        <w:pStyle w:val="Heading2"/>
      </w:pPr>
      <w:r>
        <w:t>VGG16-Face</w:t>
      </w:r>
    </w:p>
    <w:p w:rsidR="0098394F" w:rsidRDefault="00603F60" w:rsidP="00B65A84">
      <w:pPr>
        <w:spacing w:line="360" w:lineRule="auto"/>
        <w:ind w:firstLine="720"/>
      </w:pPr>
      <w:r>
        <w:t xml:space="preserve">As for the pre-trained convolutional network, we utilized </w:t>
      </w:r>
      <w:r w:rsidR="00902281">
        <w:t xml:space="preserve">the </w:t>
      </w:r>
      <w:r w:rsidR="0098394F">
        <w:t>VGG16-</w:t>
      </w:r>
      <w:r>
        <w:t>Face architecture (</w:t>
      </w:r>
      <w:proofErr w:type="spellStart"/>
      <w:r>
        <w:t>Parkhi</w:t>
      </w:r>
      <w:proofErr w:type="spellEnd"/>
      <w:r>
        <w:t xml:space="preserve">, </w:t>
      </w:r>
      <w:proofErr w:type="spellStart"/>
      <w:r>
        <w:t>Vedaldi</w:t>
      </w:r>
      <w:proofErr w:type="spellEnd"/>
      <w:r>
        <w:t xml:space="preserve">, &amp; Zisserman, 2015). </w:t>
      </w:r>
      <w:r w:rsidR="0098394F">
        <w:t xml:space="preserve">The precise details of the network architecture and development context are described in the relevant paper, so in this subsection we merely sketch out its essential properties. </w:t>
      </w:r>
    </w:p>
    <w:p w:rsidR="001C3FA5" w:rsidRDefault="0098394F" w:rsidP="00B65A84">
      <w:pPr>
        <w:spacing w:line="360" w:lineRule="auto"/>
        <w:ind w:firstLine="720"/>
      </w:pPr>
      <w:r>
        <w:t xml:space="preserve">VGG16-Face war originally trained on 2.6 million images depicting more than 2.6K people in order to perform facial recognition (i.e., identifying a unique </w:t>
      </w:r>
      <w:r w:rsidR="008F31E7">
        <w:t xml:space="preserve">person across different images). The task was set up as an N-way classification problem. As the name suggests, the structure of VGG16-Face was inspired by the previous work of </w:t>
      </w:r>
      <w:proofErr w:type="spellStart"/>
      <w:r w:rsidR="008F31E7">
        <w:t>Symonyan</w:t>
      </w:r>
      <w:proofErr w:type="spellEnd"/>
      <w:r w:rsidR="008F31E7">
        <w:t xml:space="preserve"> and Zisserman (</w:t>
      </w:r>
      <w:r w:rsidR="00BD269D">
        <w:t>2014</w:t>
      </w:r>
      <w:r w:rsidR="008F31E7">
        <w:t xml:space="preserve">) </w:t>
      </w:r>
      <w:r w:rsidR="00BD269D">
        <w:t>who</w:t>
      </w:r>
      <w:r w:rsidR="008F31E7">
        <w:t xml:space="preserve"> demonstrated the utility of deep convolutional networks in solving large-scale image classification problems, focusing, in particular, on the ImageNet dataset. Similarly, V</w:t>
      </w:r>
      <w:r w:rsidR="007E13E9">
        <w:t>GG16-Face consists of 11 blocks, each starting with a linear operator, followed by a non-linearity (</w:t>
      </w:r>
      <w:proofErr w:type="spellStart"/>
      <w:r w:rsidR="007E13E9">
        <w:t>ReLU</w:t>
      </w:r>
      <w:proofErr w:type="spellEnd"/>
      <w:r w:rsidR="007E13E9">
        <w:t xml:space="preserve">), and applying a max pooling operation before passing in the activations to subsequent layers. The last layer of VGG16-Face outputs a 4,096-dimensional vector (considered as an </w:t>
      </w:r>
      <w:r w:rsidR="007E13E9" w:rsidRPr="007E13E9">
        <w:rPr>
          <w:i/>
        </w:rPr>
        <w:t>embedding</w:t>
      </w:r>
      <w:r w:rsidR="007E13E9">
        <w:t xml:space="preserve"> of an image), which is then passed through a </w:t>
      </w:r>
      <w:r w:rsidR="007E13E9" w:rsidRPr="007E13E9">
        <w:rPr>
          <w:i/>
        </w:rPr>
        <w:t>softmax</w:t>
      </w:r>
      <w:r w:rsidR="001C3FA5">
        <w:t xml:space="preserve"> function in order to obtain</w:t>
      </w:r>
      <w:r w:rsidR="007E13E9">
        <w:t xml:space="preserve"> the class probabilities. </w:t>
      </w:r>
    </w:p>
    <w:p w:rsidR="0098145A" w:rsidRDefault="007E13E9" w:rsidP="00B65A84">
      <w:pPr>
        <w:spacing w:line="360" w:lineRule="auto"/>
        <w:ind w:firstLine="720"/>
      </w:pPr>
      <w:r>
        <w:t xml:space="preserve">For our current application, we removed the </w:t>
      </w:r>
      <w:r w:rsidRPr="007E13E9">
        <w:rPr>
          <w:i/>
        </w:rPr>
        <w:t>softmax</w:t>
      </w:r>
      <w:r>
        <w:t xml:space="preserve"> </w:t>
      </w:r>
      <w:r w:rsidR="0098145A">
        <w:t>layer</w:t>
      </w:r>
      <w:r w:rsidR="001C3FA5">
        <w:t xml:space="preserve"> and </w:t>
      </w:r>
      <w:r w:rsidR="001C3FA5" w:rsidRPr="001C3FA5">
        <w:rPr>
          <w:i/>
        </w:rPr>
        <w:t xml:space="preserve">froze </w:t>
      </w:r>
      <w:r w:rsidR="00CE14CF">
        <w:t xml:space="preserve">all previous layers, </w:t>
      </w:r>
      <w:r w:rsidR="001C3FA5">
        <w:t>i.e., did not update their</w:t>
      </w:r>
      <w:r w:rsidR="00CE14CF">
        <w:t xml:space="preserve"> weights during backpropagation</w:t>
      </w:r>
      <w:r w:rsidR="001C3FA5">
        <w:t>.</w:t>
      </w:r>
      <w:r w:rsidR="00CE14CF">
        <w:t xml:space="preserve"> </w:t>
      </w:r>
      <w:r w:rsidR="001C3FA5">
        <w:t>This was done in order to prevent the algorithm from modifying the representations learned previously by the</w:t>
      </w:r>
      <w:r w:rsidR="00512D50">
        <w:t>se previous layers</w:t>
      </w:r>
      <w:r w:rsidR="001C3FA5">
        <w:t>. Thus, we used</w:t>
      </w:r>
      <w:r w:rsidR="0098145A">
        <w:t xml:space="preserve"> the image </w:t>
      </w:r>
      <w:r w:rsidR="001C3FA5">
        <w:t>embeddings</w:t>
      </w:r>
      <w:r w:rsidR="0098145A">
        <w:t xml:space="preserve"> returned </w:t>
      </w:r>
      <w:r w:rsidR="001C3FA5">
        <w:t>by the last layer of the network as a starting point</w:t>
      </w:r>
      <w:r w:rsidR="0098145A">
        <w:t>.</w:t>
      </w:r>
      <w:r w:rsidR="001C3FA5">
        <w:t xml:space="preserve"> The implicit assumption is, therefore, that the 4,096-dimensional vectors of extracted features will contain all the information needed for accurately predicting facial attractiveness. </w:t>
      </w:r>
      <w:r w:rsidR="00955610">
        <w:t>Finally, i</w:t>
      </w:r>
      <w:r w:rsidR="001C3FA5">
        <w:t>t is important to note, that using th</w:t>
      </w:r>
      <w:r w:rsidR="00512D50">
        <w:t>e pre-trained VGG16-Face in this manner</w:t>
      </w:r>
      <w:r w:rsidR="001C3FA5">
        <w:t xml:space="preserve"> has one more important advantage.</w:t>
      </w:r>
      <w:r w:rsidR="00512D50">
        <w:t xml:space="preserve"> Since the extracted</w:t>
      </w:r>
      <w:r w:rsidR="00955610">
        <w:t xml:space="preserve"> facial</w:t>
      </w:r>
      <w:r w:rsidR="00512D50">
        <w:t xml:space="preserve"> features are considered to be invariant </w:t>
      </w:r>
      <w:r w:rsidR="00955610">
        <w:t xml:space="preserve">to head orientation, background, lighting and other low-level image properties such as brightness or contrast, the </w:t>
      </w:r>
      <w:r w:rsidR="00955610">
        <w:lastRenderedPageBreak/>
        <w:t>contribution of such factors to predicting attractiveness is vastly min</w:t>
      </w:r>
      <w:r w:rsidR="00397525">
        <w:t xml:space="preserve">imized. Such feature invariance is of great importance to real-world application, where the distribution of facial images exhibit high levels of natural variance. </w:t>
      </w:r>
    </w:p>
    <w:p w:rsidR="00955610" w:rsidRDefault="00955610" w:rsidP="00B65A84">
      <w:pPr>
        <w:pStyle w:val="Heading2"/>
      </w:pPr>
      <w:r>
        <w:t>Current architecture</w:t>
      </w:r>
    </w:p>
    <w:p w:rsidR="00865766" w:rsidRDefault="00955610" w:rsidP="00B65A84">
      <w:pPr>
        <w:spacing w:line="360" w:lineRule="auto"/>
      </w:pPr>
      <w:r>
        <w:tab/>
        <w:t xml:space="preserve">Having outlined the base of our model, we now turn to the expansion of the base model necessitated by the current task. The entire network architecture is illustrated in </w:t>
      </w:r>
      <w:r w:rsidRPr="00955610">
        <w:rPr>
          <w:b/>
        </w:rPr>
        <w:t>Figur</w:t>
      </w:r>
      <w:r w:rsidR="00B31863">
        <w:rPr>
          <w:b/>
        </w:rPr>
        <w:t>e 2</w:t>
      </w:r>
      <w:r>
        <w:t xml:space="preserve">. </w:t>
      </w:r>
      <w:r w:rsidR="00397525">
        <w:t xml:space="preserve">As evident from the graphical representation, the features extracted by VGG16-face were fed into a succession of three fully connected (FC) layers aimed at </w:t>
      </w:r>
      <w:r w:rsidR="00AD488A">
        <w:t>learning a user’s particula</w:t>
      </w:r>
      <w:r w:rsidR="00B31863">
        <w:t>r judgements of attractiveness.</w:t>
      </w:r>
      <w:r w:rsidR="00677652">
        <w:t xml:space="preserve"> Additionally, we applied dropout as a regularization technique (Srivastava et al., 2014) to each FC layer.</w:t>
      </w:r>
      <w:r w:rsidR="00652AAB">
        <w:t xml:space="preserve"> Dropout refers to the </w:t>
      </w:r>
      <w:r w:rsidR="009D0B93">
        <w:t>operation</w:t>
      </w:r>
      <w:r w:rsidR="00652AAB">
        <w:t xml:space="preserve"> of multiplying each layer’s activation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52AAB">
        <w:t xml:space="preserve">with a vector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 xml:space="preserve"> ~ Bernoulli(μ)</m:t>
        </m:r>
      </m:oMath>
      <w:r w:rsidR="00652AAB">
        <w:rPr>
          <w:rFonts w:eastAsiaTheme="minorEastAsia"/>
        </w:rPr>
        <w:t>, thereby preventing units to overly co-adapt, which, in turn, has been shown to reduce overfitting</w:t>
      </w:r>
      <w:r w:rsidR="00AA5FE7">
        <w:rPr>
          <w:rFonts w:eastAsiaTheme="minorEastAsia"/>
        </w:rPr>
        <w:t xml:space="preserve"> </w:t>
      </w:r>
      <w:r w:rsidR="00AA5FE7">
        <w:t>(Srivastava et al., 2014)</w:t>
      </w:r>
      <w:r w:rsidR="00652AAB">
        <w:rPr>
          <w:rFonts w:eastAsiaTheme="minorEastAsia"/>
        </w:rPr>
        <w:t xml:space="preserve">. </w:t>
      </w:r>
      <w:r w:rsidR="00652AAB">
        <w:t>In all current experiments, the</w:t>
      </w:r>
      <w:r w:rsidR="00677652">
        <w:t xml:space="preserve"> dropout rate </w:t>
      </w:r>
      <m:oMath>
        <m:r>
          <w:rPr>
            <w:rFonts w:ascii="Cambria Math" w:hAnsi="Cambria Math"/>
          </w:rPr>
          <m:t xml:space="preserve">μ </m:t>
        </m:r>
      </m:oMath>
      <w:r w:rsidR="00677652">
        <w:t xml:space="preserve">was set to 0.2. We also applied batch normalization </w:t>
      </w:r>
      <w:r w:rsidR="004D6178">
        <w:t>to the outputs of each FC layer (</w:t>
      </w:r>
      <w:proofErr w:type="spellStart"/>
      <w:r w:rsidR="004D6178">
        <w:t>Ioffe</w:t>
      </w:r>
      <w:proofErr w:type="spellEnd"/>
      <w:r w:rsidR="004D6178">
        <w:t xml:space="preserve"> et al., 2015).</w:t>
      </w:r>
      <w:r w:rsidR="009D0B93">
        <w:t xml:space="preserve"> Batch normalization refers to the process of normalizing the outputs of network layer </w:t>
      </w:r>
      <m:oMath>
        <m:r>
          <w:rPr>
            <w:rFonts w:ascii="Cambria Math" w:hAnsi="Cambria Math"/>
          </w:rPr>
          <m:t>l-1</m:t>
        </m:r>
      </m:oMath>
      <w:r w:rsidR="009D0B93">
        <w:t xml:space="preserve">, thus </w:t>
      </w:r>
      <w:r w:rsidR="00DC0785">
        <w:t xml:space="preserve">essentially </w:t>
      </w:r>
      <w:r w:rsidR="009D0B93">
        <w:t>normalizing the inputs to layer</w:t>
      </w:r>
      <w:r w:rsidR="00DC078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9D0B93">
        <w:rPr>
          <w:i/>
        </w:rPr>
        <w:t xml:space="preserve">. </w:t>
      </w:r>
      <w:r w:rsidR="009D0B93">
        <w:t>It is a simple way to preve</w:t>
      </w:r>
      <w:r w:rsidR="00AA5FE7">
        <w:t>nt units from saturating and</w:t>
      </w:r>
      <w:r w:rsidR="009D0B93">
        <w:t xml:space="preserve"> has been successfully demonstrated</w:t>
      </w:r>
      <w:r w:rsidR="00AA5FE7">
        <w:t xml:space="preserve"> to accelerate training of deep networks (</w:t>
      </w:r>
      <w:proofErr w:type="spellStart"/>
      <w:r w:rsidR="00AA5FE7">
        <w:t>Ioffe</w:t>
      </w:r>
      <w:proofErr w:type="spellEnd"/>
      <w:r w:rsidR="00AA5FE7">
        <w:t xml:space="preserve"> et al., 2015).  </w:t>
      </w:r>
      <w:r w:rsidR="005C481F">
        <w:t xml:space="preserve">We now describe the </w:t>
      </w:r>
      <w:r w:rsidR="00865766">
        <w:t>output layer of the network</w:t>
      </w:r>
      <w:r w:rsidR="005C481F">
        <w:t>, which</w:t>
      </w:r>
      <w:r w:rsidR="00865766">
        <w:t xml:space="preserve"> differed accordi</w:t>
      </w:r>
      <w:r w:rsidR="005C481F">
        <w:t>ng to which approach was taken (classification, regression, or ordinal regression).</w:t>
      </w:r>
      <w:r w:rsidR="00865766">
        <w:t xml:space="preserve"> </w:t>
      </w:r>
    </w:p>
    <w:p w:rsidR="00673AF6" w:rsidRDefault="00865766" w:rsidP="00B65A84">
      <w:pPr>
        <w:spacing w:line="360" w:lineRule="auto"/>
        <w:ind w:firstLine="720"/>
      </w:pPr>
      <w:r>
        <w:t>For classification, the output of the last FC layer</w:t>
      </w:r>
      <w:r w:rsidR="00B31863">
        <w:t xml:space="preserve"> was passed through a softmax </w:t>
      </w:r>
      <w:r w:rsidR="00673AF6">
        <w:t xml:space="preserve">function. </w:t>
      </w:r>
      <w:r w:rsidR="00935913">
        <w:t>Categorical c</w:t>
      </w:r>
      <w:r w:rsidR="00673AF6">
        <w:t>ross-entropy was used as the cost function to be minimized:</w:t>
      </w:r>
    </w:p>
    <w:tbl>
      <w:tblPr>
        <w:tblStyle w:val="TableGrid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229"/>
        <w:gridCol w:w="1133"/>
      </w:tblGrid>
      <w:tr w:rsidR="00673AF6" w:rsidTr="00673AF6">
        <w:tc>
          <w:tcPr>
            <w:tcW w:w="1134" w:type="dxa"/>
            <w:vAlign w:val="center"/>
          </w:tcPr>
          <w:p w:rsidR="00673AF6" w:rsidRDefault="00673AF6" w:rsidP="00B65A84">
            <w:pPr>
              <w:spacing w:before="240"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229" w:type="dxa"/>
            <w:vAlign w:val="center"/>
          </w:tcPr>
          <w:p w:rsidR="00673AF6" w:rsidRDefault="00C02EE3" w:rsidP="00B65A84">
            <w:pPr>
              <w:spacing w:before="240"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J(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) =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(i)</m:t>
                                </m:r>
                              </m:sup>
                            </m:sSubSup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1133" w:type="dxa"/>
            <w:vAlign w:val="center"/>
          </w:tcPr>
          <w:p w:rsidR="00673AF6" w:rsidRDefault="00673AF6" w:rsidP="00B65A84">
            <w:pPr>
              <w:spacing w:before="240"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rPr>
                <w:rFonts w:eastAsiaTheme="minorEastAsia"/>
              </w:rPr>
              <w:instrText xml:space="preserve"> SEQ eq \* MERGEFORMAT </w:instrText>
            </w:r>
            <w: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6213C9" w:rsidRPr="00E5128E" w:rsidRDefault="00C252B9" w:rsidP="00B65A84">
      <w:pPr>
        <w:spacing w:line="360" w:lineRule="auto"/>
        <w:rPr>
          <w:rFonts w:eastAsiaTheme="minorEastAsia"/>
        </w:rPr>
      </w:pPr>
      <w:r>
        <w:t xml:space="preserve">In the above expression, </w:t>
      </w:r>
      <w:r w:rsidRPr="00C252B9">
        <w:rPr>
          <w:i/>
        </w:rPr>
        <w:t>N</w:t>
      </w:r>
      <w:r>
        <w:t xml:space="preserve"> is the number of training examples</w:t>
      </w:r>
      <w:r w:rsidR="006213C9">
        <w:t xml:space="preserve"> in a given batch</w:t>
      </w:r>
      <w:r>
        <w:t xml:space="preserve">, </w:t>
      </w:r>
      <w:r w:rsidR="00AD4C1E">
        <w:rPr>
          <w:i/>
        </w:rPr>
        <w:t>K</w:t>
      </w:r>
      <w:r w:rsidR="00AD4C1E">
        <w:t xml:space="preserve"> is the number of classes,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AD4C1E">
        <w:rPr>
          <w:rFonts w:eastAsiaTheme="minorEastAsia"/>
        </w:rPr>
        <w:t xml:space="preserve"> refers to the probability of training example </w:t>
      </w:r>
      <w:proofErr w:type="spellStart"/>
      <w:r w:rsidR="00AD4C1E" w:rsidRPr="00AD4C1E">
        <w:rPr>
          <w:rFonts w:eastAsiaTheme="minorEastAsia"/>
          <w:i/>
        </w:rPr>
        <w:t>i</w:t>
      </w:r>
      <w:proofErr w:type="spellEnd"/>
      <w:r w:rsidR="00AD4C1E">
        <w:rPr>
          <w:rFonts w:eastAsiaTheme="minorEastAsia"/>
        </w:rPr>
        <w:t xml:space="preserve"> belonging to class </w:t>
      </w:r>
      <w:r w:rsidR="00AD4C1E">
        <w:rPr>
          <w:rFonts w:eastAsiaTheme="minorEastAsia"/>
          <w:i/>
        </w:rPr>
        <w:t>k</w:t>
      </w:r>
      <w:r w:rsidR="00AD4C1E">
        <w:rPr>
          <w:rFonts w:eastAsiaTheme="minorEastAsia"/>
        </w:rP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AD4C1E">
        <w:rPr>
          <w:rFonts w:eastAsiaTheme="minorEastAsia"/>
        </w:rPr>
        <w:t xml:space="preserve"> refers to the </w:t>
      </w:r>
      <w:r w:rsidR="008709CD">
        <w:rPr>
          <w:rFonts w:eastAsiaTheme="minorEastAsia"/>
        </w:rPr>
        <w:t xml:space="preserve">predicted probability that example </w:t>
      </w:r>
      <w:proofErr w:type="spellStart"/>
      <w:r w:rsidR="008709CD" w:rsidRPr="008709CD">
        <w:rPr>
          <w:rFonts w:eastAsiaTheme="minorEastAsia"/>
          <w:i/>
        </w:rPr>
        <w:t>i</w:t>
      </w:r>
      <w:proofErr w:type="spellEnd"/>
      <w:r w:rsidR="008709CD">
        <w:rPr>
          <w:rFonts w:eastAsiaTheme="minorEastAsia"/>
        </w:rPr>
        <w:t xml:space="preserve"> belongs to class </w:t>
      </w:r>
      <w:r w:rsidR="008709CD" w:rsidRPr="008709CD">
        <w:rPr>
          <w:rFonts w:eastAsiaTheme="minorEastAsia"/>
          <w:i/>
        </w:rPr>
        <w:t>k</w:t>
      </w:r>
      <w:r w:rsidR="00E5128E">
        <w:rPr>
          <w:rFonts w:eastAsiaTheme="minorEastAsia"/>
        </w:rPr>
        <w:t xml:space="preserve">, and </w:t>
      </w:r>
      <w:r w:rsidR="00E5128E" w:rsidRPr="00E5128E">
        <w:rPr>
          <w:rFonts w:eastAsiaTheme="minorEastAsia"/>
          <w:b/>
        </w:rPr>
        <w:t>w</w:t>
      </w:r>
      <w:r w:rsidR="00E5128E">
        <w:rPr>
          <w:rFonts w:eastAsiaTheme="minorEastAsia"/>
          <w:b/>
        </w:rPr>
        <w:t xml:space="preserve"> </w:t>
      </w:r>
      <w:r w:rsidR="00E5128E">
        <w:rPr>
          <w:rFonts w:eastAsiaTheme="minorEastAsia"/>
        </w:rPr>
        <w:t>represents the parameters (weights) of the network.</w:t>
      </w:r>
    </w:p>
    <w:p w:rsidR="00C21D6E" w:rsidRPr="006213C9" w:rsidRDefault="00865766" w:rsidP="00B65A84">
      <w:pPr>
        <w:spacing w:line="360" w:lineRule="auto"/>
        <w:ind w:firstLine="720"/>
        <w:rPr>
          <w:rFonts w:eastAsiaTheme="minorEastAsia"/>
        </w:rPr>
      </w:pPr>
      <w:r>
        <w:lastRenderedPageBreak/>
        <w:t>For regression,</w:t>
      </w:r>
      <w:r w:rsidR="00ED104D">
        <w:t xml:space="preserve"> the output layer was comprised</w:t>
      </w:r>
      <w:r w:rsidR="00C21D6E">
        <w:t xml:space="preserve"> of a single linear unit. Mean absolute error (MAE) was used as cost function:</w:t>
      </w:r>
    </w:p>
    <w:tbl>
      <w:tblPr>
        <w:tblStyle w:val="TableGrid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229"/>
        <w:gridCol w:w="1133"/>
      </w:tblGrid>
      <w:tr w:rsidR="00C21D6E" w:rsidTr="000708D3">
        <w:tc>
          <w:tcPr>
            <w:tcW w:w="1134" w:type="dxa"/>
            <w:vAlign w:val="center"/>
          </w:tcPr>
          <w:p w:rsidR="00C21D6E" w:rsidRDefault="00C21D6E" w:rsidP="00B65A84">
            <w:pPr>
              <w:spacing w:before="240"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229" w:type="dxa"/>
            <w:vAlign w:val="center"/>
          </w:tcPr>
          <w:p w:rsidR="00C21D6E" w:rsidRDefault="007828F3" w:rsidP="00B65A84">
            <w:pPr>
              <w:spacing w:before="240"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J(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1133" w:type="dxa"/>
            <w:vAlign w:val="center"/>
          </w:tcPr>
          <w:p w:rsidR="00C21D6E" w:rsidRDefault="00C21D6E" w:rsidP="00B65A84">
            <w:pPr>
              <w:spacing w:before="240"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rPr>
                <w:rFonts w:eastAsiaTheme="minorEastAsia"/>
              </w:rPr>
              <w:instrText xml:space="preserve"> SEQ eq \* MERGEFORMAT </w:instrText>
            </w:r>
            <w:r>
              <w:fldChar w:fldCharType="separate"/>
            </w:r>
            <w:r>
              <w:rPr>
                <w:rFonts w:eastAsiaTheme="minorEastAsia"/>
                <w:noProof/>
              </w:rPr>
              <w:t>2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865766" w:rsidRDefault="00865766" w:rsidP="00B65A84">
      <w:pPr>
        <w:spacing w:line="360" w:lineRule="auto"/>
        <w:rPr>
          <w:rFonts w:eastAsiaTheme="minorEastAsia"/>
        </w:rPr>
      </w:pPr>
      <w:r>
        <w:t xml:space="preserve"> </w:t>
      </w:r>
      <w:r w:rsidR="006213C9">
        <w:tab/>
        <w:t>For ordinal regression, we used the following approach described by Cheng (2007).</w:t>
      </w:r>
      <w:r w:rsidR="00596611">
        <w:t xml:space="preserve"> The idea is to frame the problem as a multi-label classification task and instead of using one-hot-encoding to represent each category </w:t>
      </w:r>
      <w:r w:rsidR="00596611" w:rsidRPr="00596611">
        <w:rPr>
          <w:i/>
        </w:rPr>
        <w:t>k</w:t>
      </w:r>
      <w:r w:rsidR="00596611">
        <w:t xml:space="preserve"> belonging to </w:t>
      </w:r>
      <m:oMath>
        <m:r>
          <w:rPr>
            <w:rFonts w:ascii="Cambria Math" w:hAnsi="Cambria Math"/>
          </w:rPr>
          <m:t>{0, 1,…,K-1}</m:t>
        </m:r>
      </m:oMath>
      <w:r w:rsidR="00596611">
        <w:t xml:space="preserve"> as a </w:t>
      </w:r>
      <w:r w:rsidR="004E3BF2">
        <w:t xml:space="preserve">binary </w:t>
      </w:r>
      <w:r w:rsidR="00596611">
        <w:t xml:space="preserve">vector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0,…,0</m:t>
            </m:r>
          </m:e>
        </m:d>
      </m:oMath>
      <w:r w:rsidR="00596611">
        <w:t xml:space="preserve"> </w:t>
      </w:r>
      <w:r w:rsidR="004E3BF2">
        <w:t xml:space="preserve">of dimension </w:t>
      </w:r>
      <w:r w:rsidR="004E3BF2" w:rsidRPr="004E3BF2">
        <w:rPr>
          <w:i/>
        </w:rPr>
        <w:t>k</w:t>
      </w:r>
      <w:r w:rsidR="004E3BF2">
        <w:rPr>
          <w:i/>
        </w:rPr>
        <w:t>,</w:t>
      </w:r>
      <w:r w:rsidR="004E3BF2">
        <w:t xml:space="preserve"> </w:t>
      </w:r>
      <w:r w:rsidR="00596611">
        <w:t xml:space="preserve">where each </w:t>
      </w:r>
      <w:r w:rsidR="004E3BF2">
        <w:t xml:space="preserve">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&amp;0≤i ≤k</m:t>
                </m:r>
              </m:e>
              <m:e>
                <m:r>
                  <w:rPr>
                    <w:rFonts w:ascii="Cambria Math" w:hAnsi="Cambria Math"/>
                  </w:rPr>
                  <m:t>0,  &amp;i&gt; k</m:t>
                </m:r>
              </m:e>
            </m:eqArr>
          </m:e>
        </m:d>
      </m:oMath>
      <w:r w:rsidR="004E3BF2">
        <w:rPr>
          <w:rFonts w:eastAsiaTheme="minorEastAsia"/>
        </w:rPr>
        <w:t>.</w:t>
      </w:r>
      <w:r w:rsidR="00935913">
        <w:rPr>
          <w:rFonts w:eastAsiaTheme="minorEastAsia"/>
        </w:rPr>
        <w:t xml:space="preserve"> Thus, the output layer </w:t>
      </w:r>
      <w:r w:rsidR="004E3BF2">
        <w:rPr>
          <w:rFonts w:eastAsiaTheme="minorEastAsia"/>
        </w:rPr>
        <w:t>consist</w:t>
      </w:r>
      <w:r w:rsidR="00935913">
        <w:rPr>
          <w:rFonts w:eastAsiaTheme="minorEastAsia"/>
        </w:rPr>
        <w:t>s</w:t>
      </w:r>
      <w:r w:rsidR="004E3BF2">
        <w:rPr>
          <w:rFonts w:eastAsiaTheme="minorEastAsia"/>
        </w:rPr>
        <w:t xml:space="preserve"> of </w:t>
      </w:r>
      <w:r w:rsidR="004E3BF2" w:rsidRPr="004E3BF2">
        <w:rPr>
          <w:rFonts w:eastAsiaTheme="minorEastAsia"/>
          <w:i/>
        </w:rPr>
        <w:t>k</w:t>
      </w:r>
      <w:r w:rsidR="004E3BF2">
        <w:rPr>
          <w:rFonts w:eastAsiaTheme="minorEastAsia"/>
          <w:i/>
        </w:rPr>
        <w:t xml:space="preserve"> </w:t>
      </w:r>
      <w:r w:rsidR="004E3BF2">
        <w:rPr>
          <w:rFonts w:eastAsiaTheme="minorEastAsia"/>
        </w:rPr>
        <w:t xml:space="preserve">sigmoid units, so a natural choice of cost function is the binary </w:t>
      </w:r>
      <w:r w:rsidR="00935913">
        <w:rPr>
          <w:rFonts w:eastAsiaTheme="minorEastAsia"/>
        </w:rPr>
        <w:t>cross-</w:t>
      </w:r>
      <w:r w:rsidR="004E3BF2">
        <w:rPr>
          <w:rFonts w:eastAsiaTheme="minorEastAsia"/>
        </w:rPr>
        <w:t xml:space="preserve">entropy over all </w:t>
      </w:r>
      <w:r w:rsidR="00935913">
        <w:rPr>
          <w:rFonts w:eastAsiaTheme="minorEastAsia"/>
        </w:rPr>
        <w:t>sigmoid units:</w:t>
      </w:r>
    </w:p>
    <w:tbl>
      <w:tblPr>
        <w:tblStyle w:val="TableGrid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229"/>
        <w:gridCol w:w="1133"/>
      </w:tblGrid>
      <w:tr w:rsidR="00935913" w:rsidTr="00E00174">
        <w:tc>
          <w:tcPr>
            <w:tcW w:w="1134" w:type="dxa"/>
            <w:vAlign w:val="center"/>
          </w:tcPr>
          <w:p w:rsidR="00935913" w:rsidRDefault="00935913" w:rsidP="00B65A84">
            <w:pPr>
              <w:spacing w:before="240"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229" w:type="dxa"/>
            <w:vAlign w:val="center"/>
          </w:tcPr>
          <w:p w:rsidR="00935913" w:rsidRDefault="007828F3" w:rsidP="00B65A84">
            <w:pPr>
              <w:spacing w:before="240"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J(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)=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(i)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(i)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(1- 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(i)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log(1- </m:t>
                                    </m:r>
                                  </m:fNam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(i)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func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33" w:type="dxa"/>
            <w:vAlign w:val="center"/>
          </w:tcPr>
          <w:p w:rsidR="00935913" w:rsidRDefault="00935913" w:rsidP="00B65A84">
            <w:pPr>
              <w:spacing w:before="240"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rPr>
                <w:rFonts w:eastAsiaTheme="minorEastAsia"/>
              </w:rPr>
              <w:instrText xml:space="preserve"> SEQ eq \* MERGEFORMAT </w:instrText>
            </w:r>
            <w:r>
              <w:fldChar w:fldCharType="separate"/>
            </w:r>
            <w:r>
              <w:rPr>
                <w:rFonts w:eastAsiaTheme="minorEastAsia"/>
                <w:noProof/>
              </w:rPr>
              <w:t>3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67117E" w:rsidRDefault="00ED104D" w:rsidP="00B65A84">
      <w:pPr>
        <w:spacing w:line="360" w:lineRule="auto"/>
        <w:rPr>
          <w:rFonts w:eastAsiaTheme="minorEastAsia"/>
        </w:rPr>
      </w:pPr>
      <w:r>
        <w:t xml:space="preserve">Where this time,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an individual Bernoulli variable</w:t>
      </w:r>
      <w:r w:rsidR="00C02EE3">
        <w:rPr>
          <w:rFonts w:eastAsiaTheme="minorEastAsia"/>
        </w:rPr>
        <w:t xml:space="preserve">, as specified above. </w:t>
      </w:r>
    </w:p>
    <w:p w:rsidR="007B25F9" w:rsidRDefault="00603B25" w:rsidP="00B65A8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>It should be noted, however, that the nature of imbalanced data (the authors tended not to give especially generous ratings) require</w:t>
      </w:r>
      <w:r w:rsidR="003E399E">
        <w:rPr>
          <w:rFonts w:eastAsiaTheme="minorEastAsia"/>
        </w:rPr>
        <w:t>s additional caution. There are many approaches</w:t>
      </w:r>
      <w:r>
        <w:rPr>
          <w:rFonts w:eastAsiaTheme="minorEastAsia"/>
        </w:rPr>
        <w:t xml:space="preserve"> to handle imbalanced data (</w:t>
      </w:r>
      <w:r w:rsidR="003E399E">
        <w:rPr>
          <w:rFonts w:eastAsiaTheme="minorEastAsia"/>
        </w:rPr>
        <w:t xml:space="preserve">He &amp; Garcia, 2009). For the current task, we experimented separately with </w:t>
      </w:r>
      <w:r w:rsidR="003E399E" w:rsidRPr="003E399E">
        <w:rPr>
          <w:rFonts w:eastAsiaTheme="minorEastAsia"/>
          <w:i/>
        </w:rPr>
        <w:t>oversampling</w:t>
      </w:r>
      <w:r w:rsidR="003E399E">
        <w:rPr>
          <w:rFonts w:eastAsiaTheme="minorEastAsia"/>
        </w:rPr>
        <w:t xml:space="preserve"> and </w:t>
      </w:r>
      <w:r w:rsidR="003E399E" w:rsidRPr="003E399E">
        <w:rPr>
          <w:rFonts w:eastAsiaTheme="minorEastAsia"/>
          <w:i/>
        </w:rPr>
        <w:t>cost penalty</w:t>
      </w:r>
      <w:r w:rsidR="007B25F9">
        <w:rPr>
          <w:rFonts w:eastAsiaTheme="minorEastAsia"/>
        </w:rPr>
        <w:t>, since both appear to have found usage in deep learning applications.</w:t>
      </w:r>
      <w:r w:rsidR="003E399E">
        <w:rPr>
          <w:rFonts w:eastAsiaTheme="minorEastAsia"/>
        </w:rPr>
        <w:t xml:space="preserve"> Whenever cost penalty was</w:t>
      </w:r>
      <w:r w:rsidR="00B63FB8">
        <w:rPr>
          <w:rFonts w:eastAsiaTheme="minorEastAsia"/>
        </w:rPr>
        <w:t xml:space="preserve"> applied, the above cost function definitions </w:t>
      </w:r>
      <w:r w:rsidR="003E399E">
        <w:rPr>
          <w:rFonts w:eastAsiaTheme="minorEastAsia"/>
        </w:rPr>
        <w:t xml:space="preserve">simply include class weights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E399E">
        <w:rPr>
          <w:rFonts w:eastAsiaTheme="minorEastAsia"/>
        </w:rPr>
        <w:t xml:space="preserve"> which are </w:t>
      </w:r>
      <w:r w:rsidR="00B63FB8">
        <w:rPr>
          <w:rFonts w:eastAsiaTheme="minorEastAsia"/>
        </w:rPr>
        <w:t>given by,</w:t>
      </w:r>
    </w:p>
    <w:tbl>
      <w:tblPr>
        <w:tblStyle w:val="TableGrid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229"/>
        <w:gridCol w:w="1133"/>
      </w:tblGrid>
      <w:tr w:rsidR="007B25F9" w:rsidTr="007B25F9">
        <w:tc>
          <w:tcPr>
            <w:tcW w:w="1134" w:type="dxa"/>
            <w:vAlign w:val="center"/>
          </w:tcPr>
          <w:p w:rsidR="007B25F9" w:rsidRDefault="007B25F9" w:rsidP="00B65A84">
            <w:pPr>
              <w:spacing w:before="240"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7229" w:type="dxa"/>
            <w:vAlign w:val="center"/>
          </w:tcPr>
          <w:p w:rsidR="007B25F9" w:rsidRDefault="007B25F9" w:rsidP="00B65A84">
            <w:pPr>
              <w:spacing w:before="240"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3" w:type="dxa"/>
            <w:vAlign w:val="center"/>
          </w:tcPr>
          <w:p w:rsidR="007B25F9" w:rsidRDefault="007B25F9" w:rsidP="00B65A84">
            <w:pPr>
              <w:spacing w:before="240"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rPr>
                <w:rFonts w:eastAsiaTheme="minorEastAsia"/>
              </w:rPr>
              <w:instrText xml:space="preserve"> SEQ eq \* MERGEFORMAT </w:instrText>
            </w:r>
            <w:r>
              <w:fldChar w:fldCharType="separate"/>
            </w:r>
            <w:r>
              <w:rPr>
                <w:rFonts w:eastAsiaTheme="minorEastAsia"/>
                <w:noProof/>
              </w:rPr>
              <w:t>4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7B25F9" w:rsidRDefault="00B63FB8" w:rsidP="00B65A8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603B25" w:rsidRPr="00C02EE3" w:rsidRDefault="007B25F9" w:rsidP="00B65A8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frequency of class </w:t>
      </w:r>
      <w:r w:rsidRPr="007B25F9">
        <w:rPr>
          <w:rFonts w:eastAsiaTheme="minorEastAsia"/>
          <w:i/>
        </w:rPr>
        <w:t>k</w:t>
      </w:r>
      <w:r>
        <w:rPr>
          <w:rFonts w:eastAsiaTheme="minorEastAsia"/>
        </w:rPr>
        <w:t xml:space="preserve">. Thus, the class weights are </w:t>
      </w:r>
      <w:r w:rsidR="00B63FB8">
        <w:rPr>
          <w:rFonts w:eastAsiaTheme="minorEastAsia"/>
        </w:rPr>
        <w:t xml:space="preserve">used to increase the “cost” of misclassifying </w:t>
      </w:r>
      <w:r>
        <w:rPr>
          <w:rFonts w:eastAsiaTheme="minorEastAsia"/>
        </w:rPr>
        <w:t xml:space="preserve">rare examples. </w:t>
      </w:r>
    </w:p>
    <w:p w:rsidR="00865766" w:rsidRDefault="0067117E" w:rsidP="00B65A84">
      <w:pPr>
        <w:pStyle w:val="Heading2"/>
      </w:pPr>
      <w:r>
        <w:lastRenderedPageBreak/>
        <w:t xml:space="preserve">Training the network </w:t>
      </w:r>
    </w:p>
    <w:p w:rsidR="00C02EE3" w:rsidRPr="00C02EE3" w:rsidRDefault="00C02EE3" w:rsidP="00B65A84">
      <w:pPr>
        <w:spacing w:line="360" w:lineRule="auto"/>
      </w:pPr>
      <w:r>
        <w:tab/>
        <w:t>For each of the three settings, we trained the classifier for 50 epochs using</w:t>
      </w:r>
      <w:r w:rsidR="007828F3">
        <w:t xml:space="preserve"> the Adam optimization algorithm (</w:t>
      </w:r>
      <w:proofErr w:type="spellStart"/>
      <w:r w:rsidR="007828F3">
        <w:t>Kingma</w:t>
      </w:r>
      <w:proofErr w:type="spellEnd"/>
      <w:r w:rsidR="007828F3">
        <w:t xml:space="preserve"> et al., 2014), with learning rate set to 0.0005.</w:t>
      </w:r>
      <w:r w:rsidR="00BE1A4C">
        <w:t xml:space="preserve"> </w:t>
      </w:r>
      <w:r w:rsidR="00A4241C">
        <w:t xml:space="preserve">Batch size was 64 across all experiments. </w:t>
      </w:r>
      <w:r w:rsidR="00F37014">
        <w:t>We monitored the loss over the epochs and applied early stopping</w:t>
      </w:r>
      <w:r w:rsidR="003544BB">
        <w:t xml:space="preserve"> (Yao et al., 2007)</w:t>
      </w:r>
      <w:r w:rsidR="00F37014">
        <w:t xml:space="preserve"> when the loss did not improve across five consecutive epochs. </w:t>
      </w:r>
      <w:bookmarkStart w:id="0" w:name="_GoBack"/>
      <w:bookmarkEnd w:id="0"/>
    </w:p>
    <w:p w:rsidR="00B31863" w:rsidRPr="007B25F9" w:rsidRDefault="007B25F9" w:rsidP="00B65A84">
      <w:pPr>
        <w:spacing w:line="360" w:lineRule="auto"/>
        <w:rPr>
          <w:b/>
        </w:rPr>
      </w:pPr>
      <w:r w:rsidRPr="007B25F9">
        <w:rPr>
          <w:rFonts w:eastAsiaTheme="minorEastAsia"/>
          <w:b/>
        </w:rPr>
        <w:t>TODOS:</w:t>
      </w:r>
    </w:p>
    <w:p w:rsidR="006D5FC2" w:rsidRDefault="006D5FC2" w:rsidP="00B65A84">
      <w:pPr>
        <w:spacing w:line="360" w:lineRule="auto"/>
      </w:pPr>
      <w:r>
        <w:t xml:space="preserve">INSERT DISTRIBUTION OF </w:t>
      </w:r>
      <w:r w:rsidR="00B31863">
        <w:t>RATINGS</w:t>
      </w:r>
    </w:p>
    <w:p w:rsidR="00955610" w:rsidRPr="00955610" w:rsidRDefault="00955610" w:rsidP="00B65A84">
      <w:pPr>
        <w:spacing w:line="360" w:lineRule="auto"/>
      </w:pPr>
      <w:r>
        <w:t>INSERT FIGURE OF OUR FINAL</w:t>
      </w:r>
      <w:r w:rsidR="003D21F0">
        <w:t xml:space="preserve"> NETWORK</w:t>
      </w:r>
      <w:r>
        <w:t xml:space="preserve"> STRUCTURE</w:t>
      </w:r>
    </w:p>
    <w:p w:rsidR="00AD488A" w:rsidRPr="00AD488A" w:rsidRDefault="00AD488A" w:rsidP="00B65A84">
      <w:pPr>
        <w:spacing w:line="360" w:lineRule="auto"/>
        <w:rPr>
          <w:color w:val="FF0000"/>
        </w:rPr>
      </w:pPr>
    </w:p>
    <w:p w:rsidR="00C51145" w:rsidRDefault="00C51145" w:rsidP="00B65A84">
      <w:pPr>
        <w:spacing w:line="360" w:lineRule="auto"/>
        <w:rPr>
          <w:b/>
        </w:rPr>
      </w:pPr>
    </w:p>
    <w:p w:rsidR="00B65A84" w:rsidRDefault="00B65A84" w:rsidP="00B65A84">
      <w:pPr>
        <w:spacing w:line="360" w:lineRule="auto"/>
        <w:rPr>
          <w:b/>
        </w:rPr>
      </w:pPr>
    </w:p>
    <w:p w:rsidR="00B65A84" w:rsidRDefault="00B65A84" w:rsidP="00B65A84">
      <w:pPr>
        <w:spacing w:line="360" w:lineRule="auto"/>
        <w:rPr>
          <w:b/>
        </w:rPr>
      </w:pPr>
    </w:p>
    <w:p w:rsidR="00B65A84" w:rsidRDefault="00B65A84" w:rsidP="00B65A84">
      <w:pPr>
        <w:spacing w:line="360" w:lineRule="auto"/>
        <w:rPr>
          <w:b/>
        </w:rPr>
      </w:pPr>
    </w:p>
    <w:p w:rsidR="00B65A84" w:rsidRDefault="00B65A84" w:rsidP="00B65A84">
      <w:pPr>
        <w:spacing w:line="360" w:lineRule="auto"/>
        <w:rPr>
          <w:b/>
        </w:rPr>
      </w:pPr>
    </w:p>
    <w:p w:rsidR="00B65A84" w:rsidRDefault="00B65A84" w:rsidP="00B65A84">
      <w:pPr>
        <w:spacing w:line="360" w:lineRule="auto"/>
        <w:rPr>
          <w:b/>
        </w:rPr>
      </w:pPr>
    </w:p>
    <w:p w:rsidR="00B65A84" w:rsidRDefault="00B65A84" w:rsidP="00B65A84">
      <w:pPr>
        <w:spacing w:line="360" w:lineRule="auto"/>
        <w:rPr>
          <w:b/>
        </w:rPr>
      </w:pPr>
    </w:p>
    <w:p w:rsidR="00B65A84" w:rsidRDefault="00B65A84" w:rsidP="00B65A84">
      <w:pPr>
        <w:spacing w:line="360" w:lineRule="auto"/>
        <w:rPr>
          <w:b/>
        </w:rPr>
      </w:pPr>
    </w:p>
    <w:p w:rsidR="00B65A84" w:rsidRDefault="00B65A84" w:rsidP="00B65A84">
      <w:pPr>
        <w:spacing w:line="360" w:lineRule="auto"/>
        <w:rPr>
          <w:b/>
        </w:rPr>
      </w:pPr>
    </w:p>
    <w:p w:rsidR="00B65A84" w:rsidRDefault="00B65A84" w:rsidP="00B65A84">
      <w:pPr>
        <w:spacing w:line="360" w:lineRule="auto"/>
        <w:rPr>
          <w:b/>
        </w:rPr>
      </w:pPr>
    </w:p>
    <w:p w:rsidR="00B65A84" w:rsidRDefault="00B65A84" w:rsidP="00B65A84">
      <w:pPr>
        <w:spacing w:line="360" w:lineRule="auto"/>
        <w:rPr>
          <w:b/>
        </w:rPr>
      </w:pPr>
    </w:p>
    <w:p w:rsidR="00B65A84" w:rsidRDefault="00B65A84" w:rsidP="00B65A84">
      <w:pPr>
        <w:spacing w:line="360" w:lineRule="auto"/>
        <w:rPr>
          <w:b/>
        </w:rPr>
      </w:pPr>
    </w:p>
    <w:p w:rsidR="00B65A84" w:rsidRDefault="00B65A84" w:rsidP="00B65A84">
      <w:pPr>
        <w:spacing w:line="360" w:lineRule="auto"/>
        <w:rPr>
          <w:b/>
        </w:rPr>
      </w:pPr>
    </w:p>
    <w:p w:rsidR="00B65A84" w:rsidRDefault="00B65A84" w:rsidP="00B65A84">
      <w:pPr>
        <w:spacing w:line="360" w:lineRule="auto"/>
        <w:rPr>
          <w:b/>
        </w:rPr>
      </w:pPr>
    </w:p>
    <w:p w:rsidR="00B65A84" w:rsidRDefault="00B65A84" w:rsidP="00B65A84">
      <w:pPr>
        <w:pStyle w:val="Heading1"/>
      </w:pPr>
      <w:r>
        <w:lastRenderedPageBreak/>
        <w:t>References</w:t>
      </w:r>
    </w:p>
    <w:p w:rsidR="00B65A84" w:rsidRDefault="00B65A84" w:rsidP="00B65A84">
      <w:pPr>
        <w:pStyle w:val="EndNoteBibliography"/>
        <w:spacing w:after="0"/>
        <w:ind w:left="720" w:hanging="720"/>
      </w:pPr>
      <w:r>
        <w:rPr>
          <w:b/>
        </w:rPr>
        <w:fldChar w:fldCharType="begin"/>
      </w:r>
      <w:r>
        <w:rPr>
          <w:b/>
        </w:rPr>
        <w:instrText xml:space="preserve"> ADDIN EN.REFLIST </w:instrText>
      </w:r>
      <w:r>
        <w:rPr>
          <w:b/>
        </w:rPr>
        <w:fldChar w:fldCharType="separate"/>
      </w:r>
      <w:r w:rsidRPr="00B65A84">
        <w:t xml:space="preserve">Altwaijry, H., &amp; Belongie, S. (2013). </w:t>
      </w:r>
      <w:r w:rsidRPr="00B65A84">
        <w:rPr>
          <w:i/>
        </w:rPr>
        <w:t>Relative ranking of facial attractiveness.</w:t>
      </w:r>
      <w:r w:rsidRPr="00B65A84">
        <w:t xml:space="preserve"> Paper presented at the Applications of Computer Vision (WACV), 2013 IEEE Workshop on.</w:t>
      </w:r>
    </w:p>
    <w:p w:rsidR="00B65A84" w:rsidRPr="00B65A84" w:rsidRDefault="00B65A84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t xml:space="preserve">Bainbridge, W. A., Isola, P., &amp; Oliva, A. (2013). The intrinsic memorability of face photographs. </w:t>
      </w:r>
      <w:r w:rsidRPr="00B65A84">
        <w:rPr>
          <w:i/>
        </w:rPr>
        <w:t>Journal of Experimental Psychology: General, 142</w:t>
      </w:r>
      <w:r w:rsidRPr="00B65A84">
        <w:t xml:space="preserve">(4), 1323. </w:t>
      </w:r>
    </w:p>
    <w:p w:rsidR="00B65A84" w:rsidRPr="00B65A84" w:rsidRDefault="00B65A84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t xml:space="preserve">Cheng, J., Wang, Z., &amp; Pollastri, G. (2008). </w:t>
      </w:r>
      <w:r w:rsidRPr="00B65A84">
        <w:rPr>
          <w:i/>
        </w:rPr>
        <w:t>A neural network approach to ordinal regression.</w:t>
      </w:r>
      <w:r w:rsidRPr="00B65A84">
        <w:t xml:space="preserve"> Paper presented at the Neural Networks, 2008. IJCNN 2008.(IEEE World Congress on Computational Intelligence). IEEE International Joint Conference on.</w:t>
      </w:r>
    </w:p>
    <w:p w:rsidR="00B65A84" w:rsidRPr="00B65A84" w:rsidRDefault="00B65A84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t xml:space="preserve">Chollet, F. (2018). </w:t>
      </w:r>
      <w:r w:rsidRPr="00B65A84">
        <w:rPr>
          <w:i/>
        </w:rPr>
        <w:t>Deep learning with Python</w:t>
      </w:r>
      <w:r w:rsidRPr="00B65A84">
        <w:t>: Manning Publications.</w:t>
      </w:r>
    </w:p>
    <w:p w:rsidR="00B65A84" w:rsidRPr="00B65A84" w:rsidRDefault="00B65A84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rPr>
          <w:lang w:val="de-DE"/>
        </w:rPr>
        <w:t xml:space="preserve">Fan, J., Chau, K., Wan, X., Zhai, L., &amp; Lau, E. (2012). </w:t>
      </w:r>
      <w:r w:rsidRPr="00B65A84">
        <w:t xml:space="preserve">Prediction of facial attractiveness from facial proportions. </w:t>
      </w:r>
      <w:r w:rsidRPr="00B65A84">
        <w:rPr>
          <w:i/>
        </w:rPr>
        <w:t>Pattern Recognition, 45</w:t>
      </w:r>
      <w:r w:rsidRPr="00B65A84">
        <w:t xml:space="preserve">(6), 2326-2334. </w:t>
      </w:r>
    </w:p>
    <w:p w:rsidR="00B65A84" w:rsidRPr="00B65A84" w:rsidRDefault="00B65A84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t xml:space="preserve">Goodfellow, I., Bengio, Y., Courville, A., &amp; Bengio, Y. (2016). </w:t>
      </w:r>
      <w:r w:rsidRPr="00B65A84">
        <w:rPr>
          <w:i/>
        </w:rPr>
        <w:t>Deep learning</w:t>
      </w:r>
      <w:r w:rsidRPr="00B65A84">
        <w:t xml:space="preserve"> (Vol. 1): MIT press Cambridge.</w:t>
      </w:r>
    </w:p>
    <w:p w:rsidR="00B65A84" w:rsidRPr="00B65A84" w:rsidRDefault="00B65A84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t xml:space="preserve">He, H., &amp; Garcia, E. A. (2009). Learning from imbalanced data. </w:t>
      </w:r>
      <w:r w:rsidRPr="00B65A84">
        <w:rPr>
          <w:i/>
        </w:rPr>
        <w:t>IEEE Transactions on knowledge and data engineering, 21</w:t>
      </w:r>
      <w:r w:rsidRPr="00B65A84">
        <w:t xml:space="preserve">(9), 1263-1284. </w:t>
      </w:r>
    </w:p>
    <w:p w:rsidR="00B65A84" w:rsidRPr="00B65A84" w:rsidRDefault="00B65A84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t xml:space="preserve">Huang, G. B., Ramesh, M., Berg, T., &amp; Learned-Miller, E. (2007). </w:t>
      </w:r>
      <w:r w:rsidRPr="00B65A84">
        <w:rPr>
          <w:i/>
        </w:rPr>
        <w:t>Labeled faces in the wild: A database for studying face recognition in unconstrained environments</w:t>
      </w:r>
      <w:r w:rsidRPr="00B65A84">
        <w:t xml:space="preserve">. Retrieved from </w:t>
      </w:r>
    </w:p>
    <w:p w:rsidR="00B65A84" w:rsidRPr="00B65A84" w:rsidRDefault="00B65A84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t xml:space="preserve">Ioffe, S., &amp; Szegedy, C. (2015). </w:t>
      </w:r>
      <w:r w:rsidRPr="00B65A84">
        <w:rPr>
          <w:i/>
        </w:rPr>
        <w:t>Batch normalization: Accelerating deep network training by reducing internal covariate shift.</w:t>
      </w:r>
      <w:r w:rsidRPr="00B65A84">
        <w:t xml:space="preserve"> Paper presented at the International conference on machine learning.</w:t>
      </w:r>
    </w:p>
    <w:p w:rsidR="00B65A84" w:rsidRPr="00B65A84" w:rsidRDefault="00B65A84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t xml:space="preserve">Jamieson, S. (2004). Likert scales: how to (ab) use them. </w:t>
      </w:r>
      <w:r w:rsidRPr="00B65A84">
        <w:rPr>
          <w:i/>
        </w:rPr>
        <w:t>Medical education, 38</w:t>
      </w:r>
      <w:r w:rsidRPr="00B65A84">
        <w:t xml:space="preserve">(12), 1217-1218. </w:t>
      </w:r>
    </w:p>
    <w:p w:rsidR="00B65A84" w:rsidRPr="00B65A84" w:rsidRDefault="00B65A84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t xml:space="preserve">Jones, D., &amp; Hill, K. (1993). Criteria of facial attractiveness in five populations. </w:t>
      </w:r>
      <w:r w:rsidRPr="00B65A84">
        <w:rPr>
          <w:i/>
        </w:rPr>
        <w:t>Human Nature, 4</w:t>
      </w:r>
      <w:r w:rsidRPr="00B65A84">
        <w:t xml:space="preserve">(3), 271-296. </w:t>
      </w:r>
    </w:p>
    <w:p w:rsidR="00B65A84" w:rsidRPr="00B65A84" w:rsidRDefault="00B65A84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t xml:space="preserve">Kingma, D. P., &amp; Ba, J. (2014). Adam: A method for stochastic optimization. </w:t>
      </w:r>
      <w:r w:rsidRPr="00B65A84">
        <w:rPr>
          <w:i/>
        </w:rPr>
        <w:t>arXiv preprint arXiv:1412.6980</w:t>
      </w:r>
      <w:r w:rsidRPr="00B65A84">
        <w:t xml:space="preserve">. </w:t>
      </w:r>
    </w:p>
    <w:p w:rsidR="00B65A84" w:rsidRPr="00B65A84" w:rsidRDefault="00B65A84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t xml:space="preserve">Little, A. C., Jones, B. C., &amp; DeBruine, L. M. (2011). Facial attractiveness: evolutionary based research. </w:t>
      </w:r>
      <w:r w:rsidRPr="00B65A84">
        <w:rPr>
          <w:i/>
        </w:rPr>
        <w:t>Philosophical Transactions of the Royal Society B: Biological Sciences, 366</w:t>
      </w:r>
      <w:r w:rsidRPr="00B65A84">
        <w:t xml:space="preserve">(1571), 1638-1659. </w:t>
      </w:r>
    </w:p>
    <w:p w:rsidR="00B65A84" w:rsidRPr="00B65A84" w:rsidRDefault="00B65A84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lastRenderedPageBreak/>
        <w:t xml:space="preserve">Parkhi, O. M., Vedaldi, A., &amp; Zisserman, A. (2015). </w:t>
      </w:r>
      <w:r w:rsidRPr="00B65A84">
        <w:rPr>
          <w:i/>
        </w:rPr>
        <w:t>Deep Face Recognition.</w:t>
      </w:r>
      <w:r w:rsidRPr="00B65A84">
        <w:t xml:space="preserve"> Paper presented at the BMVC.</w:t>
      </w:r>
    </w:p>
    <w:p w:rsidR="00230903" w:rsidRPr="00B65A84" w:rsidRDefault="00230903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t xml:space="preserve">Simonyan, K., &amp; Zisserman, A. (2014). Very deep convolutional networks for large-scale image recognition. </w:t>
      </w:r>
      <w:r w:rsidRPr="00B65A84">
        <w:rPr>
          <w:i/>
        </w:rPr>
        <w:t>arXiv preprint arXiv:1409.1556</w:t>
      </w:r>
      <w:r w:rsidRPr="00B65A84">
        <w:t xml:space="preserve">. </w:t>
      </w:r>
    </w:p>
    <w:p w:rsidR="00230903" w:rsidRPr="00B65A84" w:rsidRDefault="00230903" w:rsidP="00B65A84">
      <w:pPr>
        <w:pStyle w:val="EndNoteBibliography"/>
        <w:spacing w:after="0"/>
        <w:ind w:left="720" w:hanging="720"/>
      </w:pPr>
    </w:p>
    <w:p w:rsidR="00B65A84" w:rsidRDefault="00B65A84" w:rsidP="00B65A84">
      <w:pPr>
        <w:pStyle w:val="EndNoteBibliography"/>
        <w:spacing w:after="0"/>
        <w:ind w:left="720" w:hanging="720"/>
      </w:pPr>
      <w:r w:rsidRPr="00B65A84">
        <w:t xml:space="preserve">Srivastava, N., Hinton, G., Krizhevsky, A., Sutskever, I., &amp; Salakhutdinov, R. (2014). Dropout: A simple way to prevent neural networks from overfitting. </w:t>
      </w:r>
      <w:r w:rsidRPr="00B65A84">
        <w:rPr>
          <w:i/>
        </w:rPr>
        <w:t>The Journal of Machine Learning Research, 15</w:t>
      </w:r>
      <w:r w:rsidRPr="00B65A84">
        <w:t xml:space="preserve">(1), 1929-1958. </w:t>
      </w:r>
    </w:p>
    <w:p w:rsidR="00230903" w:rsidRPr="00B65A84" w:rsidRDefault="00230903" w:rsidP="00B65A84">
      <w:pPr>
        <w:pStyle w:val="EndNoteBibliography"/>
        <w:spacing w:after="0"/>
        <w:ind w:left="720" w:hanging="720"/>
      </w:pPr>
    </w:p>
    <w:p w:rsidR="00B65A84" w:rsidRPr="00B65A84" w:rsidRDefault="00B65A84" w:rsidP="00B65A84">
      <w:pPr>
        <w:pStyle w:val="EndNoteBibliography"/>
        <w:ind w:left="720" w:hanging="720"/>
      </w:pPr>
      <w:r w:rsidRPr="00B65A84">
        <w:t xml:space="preserve">Yao, Y., Rosasco, L., &amp; Caponnetto, A. (2007). On early stopping in gradient descent learning. </w:t>
      </w:r>
      <w:r w:rsidRPr="00B65A84">
        <w:rPr>
          <w:i/>
        </w:rPr>
        <w:t>Constructive Approximation, 26</w:t>
      </w:r>
      <w:r w:rsidRPr="00B65A84">
        <w:t xml:space="preserve">(2), 289-315. </w:t>
      </w:r>
    </w:p>
    <w:p w:rsidR="00B65A84" w:rsidRPr="00603F60" w:rsidRDefault="00B65A84" w:rsidP="00B65A84">
      <w:pPr>
        <w:spacing w:line="360" w:lineRule="auto"/>
        <w:rPr>
          <w:b/>
        </w:rPr>
      </w:pPr>
      <w:r>
        <w:rPr>
          <w:b/>
        </w:rPr>
        <w:fldChar w:fldCharType="end"/>
      </w:r>
    </w:p>
    <w:sectPr w:rsidR="00B65A84" w:rsidRPr="00603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Helvetic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rrr9tspbzv2xeexwznvt9pnwexzzzrvdf0p&quot;&gt;literature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/record-ids&gt;&lt;/item&gt;&lt;/Libraries&gt;"/>
  </w:docVars>
  <w:rsids>
    <w:rsidRoot w:val="003B530C"/>
    <w:rsid w:val="000115AF"/>
    <w:rsid w:val="000230EA"/>
    <w:rsid w:val="0006184F"/>
    <w:rsid w:val="000708D3"/>
    <w:rsid w:val="00086DF1"/>
    <w:rsid w:val="001002B0"/>
    <w:rsid w:val="00113174"/>
    <w:rsid w:val="00133BD1"/>
    <w:rsid w:val="001C3FA5"/>
    <w:rsid w:val="00205696"/>
    <w:rsid w:val="00230903"/>
    <w:rsid w:val="0027712E"/>
    <w:rsid w:val="002D7B6F"/>
    <w:rsid w:val="002E78B3"/>
    <w:rsid w:val="00327C24"/>
    <w:rsid w:val="00341672"/>
    <w:rsid w:val="00351BB2"/>
    <w:rsid w:val="003544BB"/>
    <w:rsid w:val="00371779"/>
    <w:rsid w:val="00396F50"/>
    <w:rsid w:val="00397525"/>
    <w:rsid w:val="003B530C"/>
    <w:rsid w:val="003D21F0"/>
    <w:rsid w:val="003E399E"/>
    <w:rsid w:val="00441315"/>
    <w:rsid w:val="004D6178"/>
    <w:rsid w:val="004E3BF2"/>
    <w:rsid w:val="00512D50"/>
    <w:rsid w:val="00596611"/>
    <w:rsid w:val="005C481F"/>
    <w:rsid w:val="005E137D"/>
    <w:rsid w:val="005F0F91"/>
    <w:rsid w:val="005F1032"/>
    <w:rsid w:val="00603B25"/>
    <w:rsid w:val="00603F60"/>
    <w:rsid w:val="00610A1B"/>
    <w:rsid w:val="006213C9"/>
    <w:rsid w:val="00652AAB"/>
    <w:rsid w:val="0067117E"/>
    <w:rsid w:val="00673AF6"/>
    <w:rsid w:val="00677652"/>
    <w:rsid w:val="00682E01"/>
    <w:rsid w:val="006D5FC2"/>
    <w:rsid w:val="00701775"/>
    <w:rsid w:val="00757F76"/>
    <w:rsid w:val="00767C4F"/>
    <w:rsid w:val="007828F3"/>
    <w:rsid w:val="007B25F9"/>
    <w:rsid w:val="007C7AEF"/>
    <w:rsid w:val="007E13E9"/>
    <w:rsid w:val="008441BC"/>
    <w:rsid w:val="00865766"/>
    <w:rsid w:val="008709CD"/>
    <w:rsid w:val="0089033F"/>
    <w:rsid w:val="008B00E4"/>
    <w:rsid w:val="008C5A22"/>
    <w:rsid w:val="008F31E7"/>
    <w:rsid w:val="008F7E06"/>
    <w:rsid w:val="00902281"/>
    <w:rsid w:val="00935913"/>
    <w:rsid w:val="00955610"/>
    <w:rsid w:val="0098145A"/>
    <w:rsid w:val="0098394F"/>
    <w:rsid w:val="009D0B93"/>
    <w:rsid w:val="00A4241C"/>
    <w:rsid w:val="00A61BA9"/>
    <w:rsid w:val="00AA5FE7"/>
    <w:rsid w:val="00AD488A"/>
    <w:rsid w:val="00AD4C1E"/>
    <w:rsid w:val="00B31863"/>
    <w:rsid w:val="00B63FB8"/>
    <w:rsid w:val="00B65A84"/>
    <w:rsid w:val="00BD269D"/>
    <w:rsid w:val="00BE1A4C"/>
    <w:rsid w:val="00C02EE3"/>
    <w:rsid w:val="00C21D6E"/>
    <w:rsid w:val="00C252B9"/>
    <w:rsid w:val="00C51145"/>
    <w:rsid w:val="00C54F9F"/>
    <w:rsid w:val="00CE14CF"/>
    <w:rsid w:val="00CF13DE"/>
    <w:rsid w:val="00DC0785"/>
    <w:rsid w:val="00E00174"/>
    <w:rsid w:val="00E5128E"/>
    <w:rsid w:val="00E52207"/>
    <w:rsid w:val="00E53DFE"/>
    <w:rsid w:val="00EC7E2A"/>
    <w:rsid w:val="00ED104D"/>
    <w:rsid w:val="00EE4EB2"/>
    <w:rsid w:val="00F360F9"/>
    <w:rsid w:val="00F37014"/>
    <w:rsid w:val="00F556F4"/>
    <w:rsid w:val="00F81FCA"/>
    <w:rsid w:val="00F87EA1"/>
    <w:rsid w:val="00FD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8C768-55F7-4335-8A46-AAF229DF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84F"/>
    <w:pPr>
      <w:spacing w:line="48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A8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17E"/>
    <w:pPr>
      <w:keepNext/>
      <w:keepLines/>
      <w:spacing w:before="40" w:after="240" w:line="360" w:lineRule="auto"/>
      <w:outlineLvl w:val="1"/>
    </w:pPr>
    <w:rPr>
      <w:rFonts w:eastAsiaTheme="min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hapter"/>
    <w:basedOn w:val="Heading1"/>
    <w:next w:val="Normal"/>
    <w:link w:val="TitleChar"/>
    <w:uiPriority w:val="10"/>
    <w:qFormat/>
    <w:rsid w:val="00F556F4"/>
    <w:pPr>
      <w:spacing w:before="720" w:beforeAutospacing="1" w:after="720" w:afterAutospacing="1" w:line="360" w:lineRule="auto"/>
      <w:contextualSpacing/>
    </w:pPr>
    <w:rPr>
      <w:rFonts w:ascii="Arial" w:hAnsi="Arial"/>
      <w:b w:val="0"/>
      <w:spacing w:val="-10"/>
      <w:kern w:val="28"/>
      <w:szCs w:val="56"/>
      <w:lang w:val="bg-BG" w:eastAsia="zh-CN"/>
    </w:rPr>
  </w:style>
  <w:style w:type="character" w:customStyle="1" w:styleId="TitleChar">
    <w:name w:val="Title Char"/>
    <w:aliases w:val="Chapter Char"/>
    <w:basedOn w:val="DefaultParagraphFont"/>
    <w:link w:val="Title"/>
    <w:uiPriority w:val="10"/>
    <w:rsid w:val="00F556F4"/>
    <w:rPr>
      <w:rFonts w:ascii="Arial" w:eastAsiaTheme="majorEastAsia" w:hAnsi="Arial" w:cstheme="majorBidi"/>
      <w:b/>
      <w:spacing w:val="-10"/>
      <w:kern w:val="28"/>
      <w:sz w:val="32"/>
      <w:szCs w:val="56"/>
      <w:lang w:val="bg-BG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65A84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17E"/>
    <w:rPr>
      <w:rFonts w:eastAsiaTheme="min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1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673AF6"/>
    <w:rPr>
      <w:color w:val="808080"/>
    </w:rPr>
  </w:style>
  <w:style w:type="table" w:styleId="TableGrid">
    <w:name w:val="Table Grid"/>
    <w:basedOn w:val="TableNormal"/>
    <w:uiPriority w:val="39"/>
    <w:rsid w:val="00673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B65A84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65A84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B65A84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65A8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C447-7146-45ED-989B-606700F0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2387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500</dc:creator>
  <cp:keywords/>
  <dc:description/>
  <cp:lastModifiedBy>Lenovo 500</cp:lastModifiedBy>
  <cp:revision>2</cp:revision>
  <dcterms:created xsi:type="dcterms:W3CDTF">2018-03-17T20:37:00Z</dcterms:created>
  <dcterms:modified xsi:type="dcterms:W3CDTF">2018-03-17T20:37:00Z</dcterms:modified>
</cp:coreProperties>
</file>