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Project 5 - Blockchain-anchored IoT data over MQTT</w:t>
      </w:r>
    </w:p>
    <w:p>
      <w:r>
        <w:t xml:space="preserve">Data Communications, 2026-2027. Team: Deea, Dani, Stefan. Variant: Hyperledger Besu with QBFT.</w:t>
      </w:r>
    </w:p>
    <w:p>
      <w:pPr>
        <w:pStyle w:val="Heading1"/>
      </w:pPr>
      <w:r>
        <w:t xml:space="preserve">What we are building</w:t>
      </w:r>
    </w:p>
    <w:p>
      <w:r>
        <w:t xml:space="preserve">We build a complete IoT data path: simulated devices that sign their own messages, Mosquitto, a gateway we write ourselves, InfluxDB and Grafana. On top of it we add integrity and auditability through a private blockchain, and we measure what that costs in latency and throughput.</w:t>
      </w:r>
    </w:p>
    <w:p>
      <w:r>
        <w:t xml:space="preserve">Everything runs on a single machine, inside WSL2, so that all timestamps share one clock. Network impairment is applied with tc netem (20 ms delay, 5 ms jitter, 1% loss) on the device side only.</w:t>
      </w:r>
    </w:p>
    <w:p>
      <w:pPr>
        <w:pStyle w:val="Heading1"/>
      </w:pPr>
      <w:r>
        <w:t xml:space="preserve">The three modes we compare</w:t>
      </w:r>
    </w:p>
    <w:tbl>
      <w:tblPr>
        <w:tblStyle w:val="TableGrid"/>
        <w:tblW w:w="9638" w:type="dxa"/>
        <w:tblLayout w:type="fixed"/>
      </w:tblPr>
      <w:tblGrid>
        <w:gridCol w:w="1500"/>
        <w:gridCol w:w="8138"/>
      </w:tblGrid>
      <w:tr>
        <w:trPr>
          <w:tblHeader/>
        </w:trPr>
        <w:tc>
          <w:tcPr>
            <w:tcW w:w="1500" w:type="dxa"/>
            <w:shd w:val="clear" w:fill="EDEDED"/>
          </w:tcPr>
          <w:p>
            <w:pPr>
              <w:spacing w:before="40" w:after="40"/>
            </w:pPr>
            <w:r>
              <w:rPr>
                <w:b/>
              </w:rPr>
              <w:t xml:space="preserve">Mode</w:t>
            </w:r>
          </w:p>
        </w:tc>
        <w:tc>
          <w:tcPr>
            <w:tcW w:w="8138" w:type="dxa"/>
            <w:shd w:val="clear" w:fill="EDEDED"/>
          </w:tcPr>
          <w:p>
            <w:pPr>
              <w:spacing w:before="40" w:after="40"/>
            </w:pPr>
            <w:r>
              <w:rPr>
                <w:b/>
              </w:rPr>
              <w:t xml:space="preserve">What the gateway does, and what we expect to see</w:t>
            </w:r>
          </w:p>
        </w:tc>
      </w:tr>
      <w:tr>
        <w:tc>
          <w:tcPr>
            <w:tcW w:w="1500" w:type="dxa"/>
          </w:tcPr>
          <w:p>
            <w:pPr>
              <w:spacing w:before="40" w:after="40"/>
            </w:pPr>
            <w:r>
              <w:t xml:space="preserve">no-chain</w:t>
            </w:r>
          </w:p>
        </w:tc>
        <w:tc>
          <w:tcPr>
            <w:tcW w:w="8138" w:type="dxa"/>
          </w:tcPr>
          <w:p>
            <w:pPr>
              <w:spacing w:before="40" w:after="40"/>
            </w:pPr>
            <w:r>
              <w:t xml:space="preserve">Verifies the signature and writes to InfluxDB. This is our reference point.</w:t>
            </w:r>
          </w:p>
        </w:tc>
      </w:tr>
      <w:tr>
        <w:tc>
          <w:tcPr>
            <w:tcW w:w="1500" w:type="dxa"/>
          </w:tcPr>
          <w:p>
            <w:pPr>
              <w:spacing w:before="40" w:after="40"/>
            </w:pPr>
            <w:r>
              <w:t xml:space="preserve">anchoring</w:t>
            </w:r>
          </w:p>
        </w:tc>
        <w:tc>
          <w:tcPr>
            <w:tcW w:w="8138" w:type="dxa"/>
          </w:tcPr>
          <w:p>
            <w:pPr>
              <w:spacing w:before="40" w:after="40"/>
            </w:pPr>
            <w:r>
              <w:t xml:space="preserve">Batches messages every 500 ms, builds a Merkle tree and sends only the root on chain. Small and nearly constant overhead.</w:t>
            </w:r>
          </w:p>
        </w:tc>
      </w:tr>
      <w:tr>
        <w:tc>
          <w:tcPr>
            <w:tcW w:w="1500" w:type="dxa"/>
          </w:tcPr>
          <w:p>
            <w:pPr>
              <w:spacing w:before="40" w:after="40"/>
            </w:pPr>
            <w:r>
              <w:t xml:space="preserve">full-record</w:t>
            </w:r>
          </w:p>
        </w:tc>
        <w:tc>
          <w:tcPr>
            <w:tcW w:w="8138" w:type="dxa"/>
          </w:tcPr>
          <w:p>
            <w:pPr>
              <w:spacing w:before="40" w:after="40"/>
            </w:pPr>
            <w:r>
              <w:t xml:space="preserve">One transaction per message. At 200 devices the chain saturates; that is the result itself, and we report the backlog curve over time.</w:t>
            </w:r>
          </w:p>
        </w:tc>
      </w:tr>
    </w:tbl>
    <w:p>
      <w:pPr>
        <w:spacing w:after="80"/>
      </w:pPr>
    </w:p>
    <w:p>
      <w:pPr>
        <w:pStyle w:val="Heading1"/>
      </w:pPr>
      <w:r>
        <w:t xml:space="preserve">Experiment matrix</w:t>
      </w:r>
    </w:p>
    <w:p>
      <w:pPr>
        <w:pStyle w:val="ListParagraph"/>
        <w:numPr>
          <w:ilvl w:val="0"/>
          <w:numId w:val="1"/>
        </w:numPr>
      </w:pPr>
      <w:r>
        <w:t xml:space="preserve">3 modes x {50, 200} devices x 5 repetitions x 120 s = 30 runs</w:t>
      </w:r>
    </w:p>
    <w:p>
      <w:pPr>
        <w:pStyle w:val="ListParagraph"/>
        <w:numPr>
          <w:ilvl w:val="0"/>
          <w:numId w:val="1"/>
        </w:numPr>
      </w:pPr>
      <w:r>
        <w:t xml:space="preserve">anchoring at 200 devices, changing one factor at a time: block period {1, 5} s and batching window {250, 1000} ms, giving 4 points x 5 repetitions = 20 runs</w:t>
      </w:r>
    </w:p>
    <w:p>
      <w:pPr>
        <w:pStyle w:val="ListParagraph"/>
        <w:numPr>
          <w:ilvl w:val="0"/>
          <w:numId w:val="1"/>
        </w:numPr>
      </w:pPr>
      <w:r>
        <w:t xml:space="preserve">50 runs in total, roughly 2 hours of actual run time</w:t>
      </w:r>
    </w:p>
    <w:p>
      <w:pPr>
        <w:pStyle w:val="ListParagraph"/>
        <w:numPr>
          <w:ilvl w:val="0"/>
          <w:numId w:val="1"/>
        </w:numPr>
      </w:pPr>
      <w:r>
        <w:t xml:space="preserve">seeds 1-5, identical across all modes; we discard the first 20 s of every 120 s run</w:t>
      </w:r>
    </w:p>
    <w:p>
      <w:pPr>
        <w:pStyle w:val="Heading1"/>
      </w:pPr>
      <w:r>
        <w:t xml:space="preserve">What we measure</w:t>
      </w:r>
    </w:p>
    <w:p>
      <w:pPr>
        <w:pStyle w:val="ListParagraph"/>
        <w:numPr>
          <w:ilvl w:val="0"/>
          <w:numId w:val="1"/>
        </w:numPr>
      </w:pPr>
      <w:r>
        <w:t xml:space="preserve">latency per segment: L1 device to gateway, L2 gateway to InfluxDB, L3 batch close to on-chain confirmation, plus end to end (p50 and p95)</w:t>
      </w:r>
    </w:p>
    <w:p>
      <w:pPr>
        <w:pStyle w:val="ListParagraph"/>
        <w:numPr>
          <w:ilvl w:val="0"/>
          <w:numId w:val="1"/>
        </w:numPr>
      </w:pPr>
      <w:r>
        <w:t xml:space="preserve">throughput in messages/s and transactions/s, and gateway backlog, mean and maximum</w:t>
      </w:r>
    </w:p>
    <w:p>
      <w:pPr>
        <w:pStyle w:val="ListParagraph"/>
        <w:numPr>
          <w:ilvl w:val="0"/>
          <w:numId w:val="1"/>
        </w:numPr>
      </w:pPr>
      <w:r>
        <w:t xml:space="preserve">signature verification cost in microseconds per message, and gateway CPU</w:t>
      </w:r>
    </w:p>
    <w:p>
      <w:pPr>
        <w:pStyle w:val="ListParagraph"/>
        <w:numPr>
          <w:ilvl w:val="0"/>
          <w:numId w:val="1"/>
        </w:numPr>
      </w:pPr>
      <w:r>
        <w:t xml:space="preserve">tamper test: we modify one stored record in InfluxDB and one payload in flight; both must be detected, one through the Merkle proof and one through the signature</w:t>
      </w:r>
    </w:p>
    <w:p>
      <w:pPr>
        <w:pStyle w:val="Heading1"/>
      </w:pPr>
      <w:r>
        <w:t xml:space="preserve">Who does what</w:t>
      </w:r>
    </w:p>
    <w:tbl>
      <w:tblPr>
        <w:tblStyle w:val="TableGrid"/>
        <w:tblW w:w="9638" w:type="dxa"/>
        <w:tblLayout w:type="fixed"/>
      </w:tblPr>
      <w:tblGrid>
        <w:gridCol w:w="1300"/>
        <w:gridCol w:w="8338"/>
      </w:tblGrid>
      <w:tr>
        <w:trPr>
          <w:tblHeader/>
        </w:trPr>
        <w:tc>
          <w:tcPr>
            <w:tcW w:w="1300" w:type="dxa"/>
            <w:shd w:val="clear" w:fill="EDEDED"/>
          </w:tcPr>
          <w:p>
            <w:pPr>
              <w:spacing w:before="40" w:after="40"/>
            </w:pPr>
            <w:r>
              <w:rPr>
                <w:b/>
              </w:rPr>
              <w:t xml:space="preserve">Package</w:t>
            </w:r>
          </w:p>
        </w:tc>
        <w:tc>
          <w:tcPr>
            <w:tcW w:w="8338" w:type="dxa"/>
            <w:shd w:val="clear" w:fill="EDEDED"/>
          </w:tcPr>
          <w:p>
            <w:pPr>
              <w:spacing w:before="40" w:after="40"/>
            </w:pPr>
            <w:r>
              <w:rPr>
                <w:b/>
              </w:rPr>
              <w:t xml:space="preserve">Scope</w:t>
            </w:r>
          </w:p>
        </w:tc>
      </w:tr>
      <w:tr>
        <w:tc>
          <w:tcPr>
            <w:tcW w:w="1300" w:type="dxa"/>
          </w:tcPr>
          <w:p>
            <w:pPr>
              <w:spacing w:before="40" w:after="40"/>
            </w:pPr>
            <w:r>
              <w:t xml:space="preserve">A</w:t>
            </w:r>
          </w:p>
        </w:tc>
        <w:tc>
          <w:tcPr>
            <w:tcW w:w="8338" w:type="dxa"/>
          </w:tcPr>
          <w:p>
            <w:pPr>
              <w:spacing w:before="40" w:after="40"/>
            </w:pPr>
            <w:r>
              <w:t xml:space="preserve">Simulated devices and message signing, netem, docker-compose, the script that runs the whole matrix, aggregation and plots. Owns L1.</w:t>
            </w:r>
          </w:p>
        </w:tc>
      </w:tr>
      <w:tr>
        <w:tc>
          <w:tcPr>
            <w:tcW w:w="1300" w:type="dxa"/>
          </w:tcPr>
          <w:p>
            <w:pPr>
              <w:spacing w:before="40" w:after="40"/>
            </w:pPr>
            <w:r>
              <w:t xml:space="preserve">B</w:t>
            </w:r>
          </w:p>
        </w:tc>
        <w:tc>
          <w:tcPr>
            <w:tcW w:w="8338" w:type="dxa"/>
          </w:tcPr>
          <w:p>
            <w:pPr>
              <w:spacing w:before="40" w:after="40"/>
            </w:pPr>
            <w:r>
              <w:t xml:space="preserve">The gateway: signature verification, Merkle tree and proofs, time batching, writes to InfluxDB, dashboards. Owns L2, signature cost and backlog.</w:t>
            </w:r>
          </w:p>
        </w:tc>
      </w:tr>
      <w:tr>
        <w:tc>
          <w:tcPr>
            <w:tcW w:w="1300" w:type="dxa"/>
          </w:tcPr>
          <w:p>
            <w:pPr>
              <w:spacing w:before="40" w:after="40"/>
            </w:pPr>
            <w:r>
              <w:t xml:space="preserve">C</w:t>
            </w:r>
          </w:p>
        </w:tc>
        <w:tc>
          <w:tcPr>
            <w:tcW w:w="8338" w:type="dxa"/>
          </w:tcPr>
          <w:p>
            <w:pPr>
              <w:spacing w:before="40" w:after="40"/>
            </w:pPr>
            <w:r>
              <w:t xml:space="preserve">The Besu devnet with QBFT and 4 validators, the Anchor.sol contract, the web3.py client, full-record mode and the tamper test. Owns L3 and transactions/s.</w:t>
            </w:r>
          </w:p>
        </w:tc>
      </w:tr>
    </w:tbl>
    <w:p>
      <w:pPr>
        <w:spacing w:after="80"/>
      </w:pPr>
    </w:p>
    <w:p>
      <w:r>
        <w:t xml:space="preserve">Each of us commits from our own GitHub account and presents at both presentations.</w:t>
      </w:r>
    </w:p>
    <w:p>
      <w:pPr>
        <w:pStyle w:val="Heading1"/>
      </w:pPr>
      <w:r>
        <w:t xml:space="preserve">Schedule</w:t>
      </w:r>
    </w:p>
    <w:p>
      <w:r>
        <w:t xml:space="preserve">We start in week 3, so P0 and the roadmap fall into the same fortnight. The midterm and the final dates are fixed, so there is no slack to make up later: the devnet has to be up by the end of week 3.</w:t>
      </w:r>
    </w:p>
    <w:tbl>
      <w:tblPr>
        <w:tblStyle w:val="TableGrid"/>
        <w:tblW w:w="9638" w:type="dxa"/>
        <w:tblLayout w:type="fixed"/>
      </w:tblPr>
      <w:tblGrid>
        <w:gridCol w:w="1300"/>
        <w:gridCol w:w="8338"/>
      </w:tblGrid>
      <w:tr>
        <w:trPr>
          <w:tblHeader/>
        </w:trPr>
        <w:tc>
          <w:tcPr>
            <w:tcW w:w="1300" w:type="dxa"/>
            <w:shd w:val="clear" w:fill="EDEDED"/>
          </w:tcPr>
          <w:p>
            <w:pPr>
              <w:spacing w:before="40" w:after="40"/>
            </w:pPr>
            <w:r>
              <w:rPr>
                <w:b/>
              </w:rPr>
              <w:t xml:space="preserve">Weeks</w:t>
            </w:r>
          </w:p>
        </w:tc>
        <w:tc>
          <w:tcPr>
            <w:tcW w:w="8338" w:type="dxa"/>
            <w:shd w:val="clear" w:fill="EDEDED"/>
          </w:tcPr>
          <w:p>
            <w:pPr>
              <w:spacing w:before="40" w:after="40"/>
            </w:pPr>
            <w:r>
              <w:rPr>
                <w:b/>
              </w:rPr>
              <w:t xml:space="preserve">What we do</w:t>
            </w:r>
          </w:p>
        </w:tc>
      </w:tr>
      <w:tr>
        <w:tc>
          <w:tcPr>
            <w:tcW w:w="1300" w:type="dxa"/>
          </w:tcPr>
          <w:p>
            <w:pPr>
              <w:spacing w:before="40" w:after="40"/>
            </w:pPr>
            <w:r>
              <w:t xml:space="preserve">3</w:t>
            </w:r>
          </w:p>
        </w:tc>
        <w:tc>
          <w:tcPr>
            <w:tcW w:w="8338" w:type="dxa"/>
          </w:tcPr>
          <w:p>
            <w:pPr>
              <w:spacing w:before="40" w:after="40"/>
            </w:pPr>
            <w:r>
              <w:t xml:space="preserve">Project starts here. P0: stack up, Besu devnet running, one anchoring transaction confirmed from Python, 3 signed publishers verified by the gateway</w:t>
            </w:r>
          </w:p>
        </w:tc>
      </w:tr>
      <w:tr>
        <w:tc>
          <w:tcPr>
            <w:tcW w:w="1300" w:type="dxa"/>
          </w:tcPr>
          <w:p>
            <w:pPr>
              <w:spacing w:before="40" w:after="40"/>
            </w:pPr>
            <w:r>
              <w:t xml:space="preserve">4</w:t>
            </w:r>
          </w:p>
        </w:tc>
        <w:tc>
          <w:tcPr>
            <w:tcW w:w="8338" w:type="dxa"/>
          </w:tcPr>
          <w:p>
            <w:pPr>
              <w:spacing w:before="40" w:after="40"/>
            </w:pPr>
            <w:r>
              <w:t xml:space="preserve">The 2-page roadmap, using the P0 result as its evidence</w:t>
            </w:r>
          </w:p>
        </w:tc>
      </w:tr>
      <w:tr>
        <w:tc>
          <w:tcPr>
            <w:tcW w:w="1300" w:type="dxa"/>
          </w:tcPr>
          <w:p>
            <w:pPr>
              <w:spacing w:before="40" w:after="40"/>
            </w:pPr>
            <w:r>
              <w:t xml:space="preserve">5-6</w:t>
            </w:r>
          </w:p>
        </w:tc>
        <w:tc>
          <w:tcPr>
            <w:tcW w:w="8338" w:type="dxa"/>
          </w:tcPr>
          <w:p>
            <w:pPr>
              <w:spacing w:before="40" w:after="40"/>
            </w:pPr>
            <w:r>
              <w:t xml:space="preserve">P1 without blockchain, then P2 with anchoring. We freeze the log format and keep it.</w:t>
            </w:r>
          </w:p>
        </w:tc>
      </w:tr>
      <w:tr>
        <w:tc>
          <w:tcPr>
            <w:tcW w:w="1300" w:type="dxa"/>
          </w:tcPr>
          <w:p>
            <w:pPr>
              <w:spacing w:before="40" w:after="40"/>
            </w:pPr>
            <w:r>
              <w:t xml:space="preserve">7-8</w:t>
            </w:r>
          </w:p>
        </w:tc>
        <w:tc>
          <w:tcPr>
            <w:tcW w:w="8338" w:type="dxa"/>
          </w:tcPr>
          <w:p>
            <w:pPr>
              <w:spacing w:before="40" w:after="40"/>
            </w:pPr>
            <w:r>
              <w:t xml:space="preserve">Midterm: 50 devices, no-chain versus anchoring, latency computed from the log, and one anchor confirmed live</w:t>
            </w:r>
          </w:p>
        </w:tc>
      </w:tr>
      <w:tr>
        <w:tc>
          <w:tcPr>
            <w:tcW w:w="1300" w:type="dxa"/>
          </w:tcPr>
          <w:p>
            <w:pPr>
              <w:spacing w:before="40" w:after="40"/>
            </w:pPr>
            <w:r>
              <w:t xml:space="preserve">9-10</w:t>
            </w:r>
          </w:p>
        </w:tc>
        <w:tc>
          <w:tcPr>
            <w:tcW w:w="8338" w:type="dxa"/>
          </w:tcPr>
          <w:p>
            <w:pPr>
              <w:spacing w:before="40" w:after="40"/>
            </w:pPr>
            <w:r>
              <w:t xml:space="preserve">P3 full-record and the tamper test. Code freeze and a pilot run with a single seed.</w:t>
            </w:r>
          </w:p>
        </w:tc>
      </w:tr>
      <w:tr>
        <w:tc>
          <w:tcPr>
            <w:tcW w:w="1300" w:type="dxa"/>
          </w:tcPr>
          <w:p>
            <w:pPr>
              <w:spacing w:before="40" w:after="40"/>
            </w:pPr>
            <w:r>
              <w:t xml:space="preserve">11-12</w:t>
            </w:r>
          </w:p>
        </w:tc>
        <w:tc>
          <w:tcPr>
            <w:tcW w:w="8338" w:type="dxa"/>
          </w:tcPr>
          <w:p>
            <w:pPr>
              <w:spacing w:before="40" w:after="40"/>
            </w:pPr>
            <w:r>
              <w:t xml:space="preserve">Run the matrix overnight, then analysis, confidence intervals and the first extension.</w:t>
            </w:r>
          </w:p>
        </w:tc>
      </w:tr>
      <w:tr>
        <w:tc>
          <w:tcPr>
            <w:tcW w:w="1300" w:type="dxa"/>
          </w:tcPr>
          <w:p>
            <w:pPr>
              <w:spacing w:before="40" w:after="40"/>
            </w:pPr>
            <w:r>
              <w:t xml:space="preserve">13-14</w:t>
            </w:r>
          </w:p>
        </w:tc>
        <w:tc>
          <w:tcPr>
            <w:tcW w:w="8338" w:type="dxa"/>
          </w:tcPr>
          <w:p>
            <w:pPr>
              <w:spacing w:before="40" w:after="40"/>
            </w:pPr>
            <w:r>
              <w:t xml:space="preserve">Final presentation, report and README.</w:t>
            </w:r>
          </w:p>
        </w:tc>
      </w:tr>
    </w:tbl>
    <w:p>
      <w:pPr>
        <w:spacing w:after="80"/>
      </w:pPr>
    </w:p>
    <w:p>
      <w:pPr>
        <w:pStyle w:val="Heading1"/>
      </w:pPr>
      <w:r>
        <w:t xml:space="preserve">Risks and fallbacks</w:t>
      </w:r>
    </w:p>
    <w:p>
      <w:pPr>
        <w:pStyle w:val="ListParagraph"/>
        <w:numPr>
          <w:ilvl w:val="0"/>
          <w:numId w:val="1"/>
        </w:numPr>
      </w:pPr>
      <w:r>
        <w:t xml:space="preserve">Besu with 4 validators may eat all the memory: we cap the JVM heap at 512 MB per node and set logging to WARN. We test this in the first days of week 3, not in week 11.</w:t>
      </w:r>
    </w:p>
    <w:p>
      <w:pPr>
        <w:pStyle w:val="ListParagraph"/>
        <w:numPr>
          <w:ilvl w:val="0"/>
          <w:numId w:val="1"/>
        </w:numPr>
      </w:pPr>
      <w:r>
        <w:t xml:space="preserve">200 containers do not fit on a laptop: we run 8-10 containers with 20-25 devices each, otherwise the CPU becomes the bottleneck instead of the network. This is our only deviation from the defaults.</w:t>
      </w:r>
    </w:p>
    <w:p>
      <w:pPr>
        <w:pStyle w:val="ListParagraph"/>
        <w:numPr>
          <w:ilvl w:val="0"/>
          <w:numId w:val="1"/>
        </w:numPr>
      </w:pPr>
      <w:r>
        <w:t xml:space="preserve">netem may be missing from the WSL2 kernel: we check in P0, and fall back to an Ubuntu VM if it is.</w:t>
      </w:r>
    </w:p>
    <w:p>
      <w:pPr>
        <w:pStyle w:val="ListParagraph"/>
        <w:numPr>
          <w:ilvl w:val="0"/>
          <w:numId w:val="1"/>
        </w:numPr>
      </w:pPr>
      <w:r>
        <w:t xml:space="preserve">If a single run exceeds 10 minutes, we use 3 seeds instead of 5 and write down why.</w:t>
      </w:r>
    </w:p>
    <w:sectPr>
      <w:pgSz w:w="11906" w:h="16838"/>
      <w:pgMar w:top="1134" w:right="1134" w:bottom="1134" w:left="1134" w:header="709" w:footer="709"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cs="Calibri"/>
        <w:sz w:val="22"/>
        <w:szCs w:val="22"/>
        <w:lang w:val="ro-RO"/>
      </w:rPr>
    </w:rPrDefault>
    <w:pPrDefault>
      <w:pPr>
        <w:spacing w:after="80" w:line="240" w:lineRule="auto"/>
      </w:pPr>
    </w:pPrDefault>
  </w:docDefaults>
  <w:style w:type="paragraph" w:default="1" w:styleId="Normal">
    <w:name w:val="Normal"/>
    <w:qFormat/>
  </w:style>
  <w:style w:type="paragraph" w:styleId="Title">
    <w:name w:val="Title"/>
    <w:basedOn w:val="Normal"/>
    <w:next w:val="Normal"/>
    <w:qFormat/>
    <w:pPr>
      <w:spacing w:after="80"/>
    </w:pPr>
    <w:rPr>
      <w:b/>
      <w:sz w:val="40"/>
    </w:rPr>
  </w:style>
  <w:style w:type="paragraph" w:styleId="Heading1">
    <w:name w:val="heading 1"/>
    <w:basedOn w:val="Normal"/>
    <w:next w:val="Normal"/>
    <w:qFormat/>
    <w:pPr>
      <w:keepNext/>
      <w:keepLines/>
      <w:spacing w:before="200" w:after="120"/>
      <w:outlineLvl w:val="0"/>
    </w:pPr>
    <w:rPr>
      <w:b/>
      <w:sz w:val="28"/>
    </w:rPr>
  </w:style>
  <w:style w:type="paragraph" w:styleId="Heading2">
    <w:name w:val="heading 2"/>
    <w:basedOn w:val="Normal"/>
    <w:next w:val="Normal"/>
    <w:qFormat/>
    <w:pPr>
      <w:keepNext/>
      <w:keepLines/>
      <w:spacing w:before="160" w:after="120"/>
      <w:outlineLvl w:val="1"/>
    </w:pPr>
    <w:rPr>
      <w:b/>
      <w:sz w:val="24"/>
    </w:rPr>
  </w:style>
  <w:style w:type="paragraph" w:styleId="ListParagraph">
    <w:name w:val="List Paragraph"/>
    <w:basedOn w:val="Normal"/>
    <w:qFormat/>
    <w:pPr>
      <w:ind w:left="720"/>
      <w:contextualSpacing/>
      <w:spacing w:after="60"/>
    </w:pPr>
  </w:style>
  <w:style w:type="table" w:styleId="TableGrid">
    <w:name w:val="Table Grid"/>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60" w:type="dxa"/>
        <w:left w:w="100" w:type="dxa"/>
        <w:bottom w:w="60" w:type="dxa"/>
        <w:right w:w="10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