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p>
    <w:p>
      <w:pPr>
        <w:spacing w:after="200" w:before="0"/>
        <w:jc w:val="center"/>
      </w:pPr>
      <w:r>
        <w:rPr>
          <w:rFonts w:ascii="Arial" w:cs="Arial" w:eastAsia="Arial" w:hAnsi="Arial"/>
          <w:b/>
          <w:bCs/>
          <w:color w:val="0B1426"/>
          <w:sz w:val="52"/>
          <w:szCs w:val="52"/>
        </w:rPr>
        <w:t xml:space="preserve">PINNACLE</w:t>
      </w:r>
    </w:p>
    <w:p>
      <w:pPr>
        <w:spacing w:after="80" w:before="0"/>
        <w:jc w:val="center"/>
      </w:pPr>
      <w:r>
        <w:rPr>
          <w:rFonts w:ascii="Arial" w:cs="Arial" w:eastAsia="Arial" w:hAnsi="Arial"/>
          <w:b/>
          <w:bCs/>
          <w:color w:val="C9A84C"/>
          <w:sz w:val="28"/>
          <w:szCs w:val="28"/>
        </w:rPr>
        <w:t xml:space="preserve">BONUS INTELLIGENCE DASHBOARD</w:t>
      </w:r>
    </w:p>
    <w:p>
      <w:pPr>
        <w:pBdr>
          <w:bottom w:val="single" w:color="C9A84C" w:sz="4" w:space="1"/>
        </w:pBdr>
        <w:spacing w:after="800" w:before="0"/>
        <w:jc w:val="center"/>
      </w:pPr>
      <w:r>
        <w:rPr>
          <w:rFonts w:ascii="Arial" w:cs="Arial" w:eastAsia="Arial" w:hAnsi="Arial"/>
          <w:sz w:val="10"/>
          <w:szCs w:val="10"/>
        </w:rPr>
        <w:t xml:space="preserve"> </w:t>
      </w:r>
    </w:p>
    <w:p>
      <w:pPr>
        <w:spacing w:after="120" w:before="400"/>
        <w:jc w:val="center"/>
      </w:pPr>
      <w:r>
        <w:rPr>
          <w:rFonts w:ascii="Arial" w:cs="Arial" w:eastAsia="Arial" w:hAnsi="Arial"/>
          <w:b/>
          <w:bCs/>
          <w:color w:val="1A2540"/>
          <w:sz w:val="28"/>
          <w:szCs w:val="28"/>
        </w:rPr>
        <w:t xml:space="preserve">README &amp; User Guide</w:t>
      </w:r>
    </w:p>
    <w:p>
      <w:pPr>
        <w:spacing w:after="80" w:before="0"/>
        <w:jc w:val="center"/>
      </w:pPr>
      <w:r>
        <w:rPr>
          <w:rFonts w:ascii="Arial" w:cs="Arial" w:eastAsia="Arial" w:hAnsi="Arial"/>
          <w:color w:val="5A6A8A"/>
          <w:sz w:val="22"/>
          <w:szCs w:val="22"/>
        </w:rPr>
        <w:t xml:space="preserve">Sales Performance &amp; Bonus Tracking System</w:t>
      </w:r>
    </w:p>
    <w:p>
      <w:pPr>
        <w:spacing w:after="80" w:before="0"/>
        <w:jc w:val="center"/>
      </w:pPr>
      <w:r>
        <w:rPr>
          <w:rFonts w:ascii="Arial" w:cs="Arial" w:eastAsia="Arial" w:hAnsi="Arial"/>
          <w:color w:val="7A8099"/>
          <w:sz w:val="20"/>
          <w:szCs w:val="20"/>
        </w:rPr>
        <w:t xml:space="preserve">For VP of Sales &amp; Department Team Leads</w:t>
      </w:r>
    </w:p>
    <w:p>
      <w:pPr>
        <w:spacing w:after="0" w:before="1440"/>
      </w:pPr>
      <w:r>
        <w:br w:type="page"/>
      </w:r>
    </w:p>
    <w:p>
      <w:pPr>
        <w:pStyle w:val="Heading1"/>
        <w:pBdr>
          <w:bottom w:val="single" w:color="C9A84C" w:sz="6" w:space="6"/>
        </w:pBdr>
        <w:spacing w:after="160" w:before="360"/>
      </w:pPr>
      <w:r>
        <w:rPr>
          <w:rFonts w:ascii="Arial" w:cs="Arial" w:eastAsia="Arial" w:hAnsi="Arial"/>
          <w:b/>
          <w:bCs/>
          <w:color w:val="0B1426"/>
          <w:sz w:val="32"/>
          <w:szCs w:val="32"/>
        </w:rPr>
        <w:t xml:space="preserve">1. Overview</w:t>
      </w:r>
    </w:p>
    <w:p>
      <w:pPr>
        <w:spacing w:after="80" w:before="60"/>
      </w:pPr>
      <w:r>
        <w:rPr>
          <w:rFonts w:ascii="Arial" w:cs="Arial" w:eastAsia="Arial" w:hAnsi="Arial"/>
          <w:color w:val="2C3E5A"/>
          <w:sz w:val="22"/>
          <w:szCs w:val="22"/>
        </w:rPr>
        <w:t xml:space="preserve">The Pinnacle Bonus Intelligence Dashboard is a two-file system — a standalone HTML dashboard and an Excel data template — that gives the VP of Sales and department team leads real-time visibility into quota attainment, bonus accruals, and tier standings. No server, no IT setup, and no internet connection required.</w:t>
      </w:r>
    </w:p>
    <w:p>
      <w:pPr>
        <w:spacing w:after="80" w:before="0"/>
      </w:pPr>
    </w:p>
    <w:p>
      <w:pPr>
        <w:spacing w:after="80" w:before="60"/>
      </w:pPr>
      <w:r>
        <w:rPr>
          <w:rFonts w:ascii="Arial" w:cs="Arial" w:eastAsia="Arial" w:hAnsi="Arial"/>
          <w:color w:val="2C3E5A"/>
          <w:sz w:val="22"/>
          <w:szCs w:val="22"/>
        </w:rPr>
        <w:t xml:space="preserve">The system is designed for HR and sales leadership to track, adjust, and communicate bonus performance across departments, teams, and individuals throughout the month, quarter, and year.</w:t>
      </w:r>
    </w:p>
    <w:p>
      <w:pPr>
        <w:spacing w:after="80" w:before="0"/>
      </w:pPr>
    </w:p>
    <w:p>
      <w:pPr>
        <w:pStyle w:val="Heading2"/>
        <w:spacing w:after="100" w:before="280"/>
      </w:pPr>
      <w:r>
        <w:rPr>
          <w:rFonts w:ascii="Arial" w:cs="Arial" w:eastAsia="Arial" w:hAnsi="Arial"/>
          <w:b/>
          <w:bCs/>
          <w:color w:val="0B1426"/>
          <w:sz w:val="26"/>
          <w:szCs w:val="26"/>
        </w:rPr>
        <w:t xml:space="preserve">What's included</w:t>
      </w:r>
    </w:p>
    <w:p>
      <w:pPr>
        <w:pStyle w:val="ListParagraph"/>
        <w:numPr>
          <w:ilvl w:val="0"/>
          <w:numId w:val="2"/>
        </w:numPr>
        <w:spacing w:after="40" w:before="40"/>
      </w:pPr>
      <w:r>
        <w:rPr>
          <w:rFonts w:ascii="Arial" w:cs="Arial" w:eastAsia="Arial" w:hAnsi="Arial"/>
          <w:b/>
          <w:bCs/>
          <w:color w:val="1A2540"/>
          <w:sz w:val="22"/>
          <w:szCs w:val="22"/>
        </w:rPr>
        <w:t xml:space="preserve">The interactive dashboard. </w:t>
      </w:r>
      <w:r>
        <w:rPr>
          <w:rFonts w:ascii="Arial" w:cs="Arial" w:eastAsia="Arial" w:hAnsi="Arial"/>
          <w:color w:val="2C3E5A"/>
          <w:sz w:val="22"/>
          <w:szCs w:val="22"/>
        </w:rPr>
        <w:t xml:space="preserve">sales_bonus_dashboard.html</w:t>
      </w:r>
    </w:p>
    <w:p>
      <w:pPr>
        <w:pStyle w:val="ListParagraph"/>
        <w:numPr>
          <w:ilvl w:val="0"/>
          <w:numId w:val="2"/>
        </w:numPr>
        <w:spacing w:after="40" w:before="40"/>
      </w:pPr>
      <w:r>
        <w:rPr>
          <w:rFonts w:ascii="Arial" w:cs="Arial" w:eastAsia="Arial" w:hAnsi="Arial"/>
          <w:b/>
          <w:bCs/>
          <w:color w:val="1A2540"/>
          <w:sz w:val="22"/>
          <w:szCs w:val="22"/>
        </w:rPr>
        <w:t xml:space="preserve">The data file you edit to update the dashboard. </w:t>
      </w:r>
      <w:r>
        <w:rPr>
          <w:rFonts w:ascii="Arial" w:cs="Arial" w:eastAsia="Arial" w:hAnsi="Arial"/>
          <w:color w:val="2C3E5A"/>
          <w:sz w:val="22"/>
          <w:szCs w:val="22"/>
        </w:rPr>
        <w:t xml:space="preserve">sales_bonus_template.xlsx</w:t>
      </w:r>
    </w:p>
    <w:p>
      <w:pPr>
        <w:pStyle w:val="ListParagraph"/>
        <w:numPr>
          <w:ilvl w:val="0"/>
          <w:numId w:val="2"/>
        </w:numPr>
        <w:spacing w:after="40" w:before="40"/>
      </w:pPr>
      <w:r>
        <w:rPr>
          <w:rFonts w:ascii="Arial" w:cs="Arial" w:eastAsia="Arial" w:hAnsi="Arial"/>
          <w:b/>
          <w:bCs/>
          <w:color w:val="1A2540"/>
          <w:sz w:val="22"/>
          <w:szCs w:val="22"/>
        </w:rPr>
        <w:t xml:space="preserve">This document. </w:t>
      </w:r>
      <w:r>
        <w:rPr>
          <w:rFonts w:ascii="Arial" w:cs="Arial" w:eastAsia="Arial" w:hAnsi="Arial"/>
          <w:color w:val="2C3E5A"/>
          <w:sz w:val="22"/>
          <w:szCs w:val="22"/>
        </w:rPr>
        <w:t xml:space="preserve">README.docx</w:t>
      </w:r>
    </w:p>
    <w:p>
      <w:pPr>
        <w:spacing w:after="80" w:before="0"/>
      </w:pPr>
    </w:p>
    <w:p>
      <w:pPr>
        <w:pStyle w:val="Heading2"/>
        <w:spacing w:after="100" w:before="280"/>
      </w:pPr>
      <w:r>
        <w:rPr>
          <w:rFonts w:ascii="Arial" w:cs="Arial" w:eastAsia="Arial" w:hAnsi="Arial"/>
          <w:b/>
          <w:bCs/>
          <w:color w:val="0B1426"/>
          <w:sz w:val="26"/>
          <w:szCs w:val="26"/>
        </w:rPr>
        <w:t xml:space="preserve">Key capabilities</w:t>
      </w:r>
    </w:p>
    <w:p>
      <w:pPr>
        <w:pStyle w:val="ListParagraph"/>
        <w:numPr>
          <w:ilvl w:val="0"/>
          <w:numId w:val="2"/>
        </w:numPr>
        <w:spacing w:after="40" w:before="40"/>
      </w:pPr>
      <w:r>
        <w:rPr>
          <w:rFonts w:ascii="Arial" w:cs="Arial" w:eastAsia="Arial" w:hAnsi="Arial"/>
          <w:color w:val="2C3E5A"/>
          <w:sz w:val="22"/>
          <w:szCs w:val="22"/>
        </w:rPr>
        <w:t xml:space="preserve">Company-wide KPIs: overall quota attainment, total bonus accrual, reps at or above quota, and gold-tier achievers</w:t>
      </w:r>
    </w:p>
    <w:p>
      <w:pPr>
        <w:pStyle w:val="ListParagraph"/>
        <w:numPr>
          <w:ilvl w:val="0"/>
          <w:numId w:val="2"/>
        </w:numPr>
        <w:spacing w:after="40" w:before="40"/>
      </w:pPr>
      <w:r>
        <w:rPr>
          <w:rFonts w:ascii="Arial" w:cs="Arial" w:eastAsia="Arial" w:hAnsi="Arial"/>
          <w:color w:val="2C3E5A"/>
          <w:sz w:val="22"/>
          <w:szCs w:val="22"/>
        </w:rPr>
        <w:t xml:space="preserve">Department standings with drill-down to teams and individual reps</w:t>
      </w:r>
    </w:p>
    <w:p>
      <w:pPr>
        <w:pStyle w:val="ListParagraph"/>
        <w:numPr>
          <w:ilvl w:val="0"/>
          <w:numId w:val="2"/>
        </w:numPr>
        <w:spacing w:after="40" w:before="40"/>
      </w:pPr>
      <w:r>
        <w:rPr>
          <w:rFonts w:ascii="Arial" w:cs="Arial" w:eastAsia="Arial" w:hAnsi="Arial"/>
          <w:color w:val="2C3E5A"/>
          <w:sz w:val="22"/>
          <w:szCs w:val="22"/>
        </w:rPr>
        <w:t xml:space="preserve">Monthly, quarterly, and yearly period toggle — all calculated from a single data file</w:t>
      </w:r>
    </w:p>
    <w:p>
      <w:pPr>
        <w:pStyle w:val="ListParagraph"/>
        <w:numPr>
          <w:ilvl w:val="0"/>
          <w:numId w:val="2"/>
        </w:numPr>
        <w:spacing w:after="40" w:before="40"/>
      </w:pPr>
      <w:r>
        <w:rPr>
          <w:rFonts w:ascii="Arial" w:cs="Arial" w:eastAsia="Arial" w:hAnsi="Arial"/>
          <w:color w:val="2C3E5A"/>
          <w:sz w:val="22"/>
          <w:szCs w:val="22"/>
        </w:rPr>
        <w:t xml:space="preserve">Configurable bonus tier structure (thresholds, percentages, and accelerator multipliers)</w:t>
      </w:r>
    </w:p>
    <w:p>
      <w:pPr>
        <w:pStyle w:val="ListParagraph"/>
        <w:numPr>
          <w:ilvl w:val="0"/>
          <w:numId w:val="2"/>
        </w:numPr>
        <w:spacing w:after="40" w:before="40"/>
      </w:pPr>
      <w:r>
        <w:rPr>
          <w:rFonts w:ascii="Arial" w:cs="Arial" w:eastAsia="Arial" w:hAnsi="Arial"/>
          <w:color w:val="2C3E5A"/>
          <w:sz w:val="22"/>
          <w:szCs w:val="22"/>
        </w:rPr>
        <w:t xml:space="preserve">No-code updates: edit the Excel template and re-upload to refresh everything</w:t>
      </w:r>
    </w:p>
    <w:p>
      <w:pPr>
        <w:spacing w:after="80" w:before="0"/>
      </w:pPr>
    </w:p>
    <w:p>
      <w:r>
        <w:br w:type="page"/>
      </w:r>
    </w:p>
    <w:p>
      <w:pPr>
        <w:pStyle w:val="Heading1"/>
        <w:pBdr>
          <w:bottom w:val="single" w:color="C9A84C" w:sz="6" w:space="6"/>
        </w:pBdr>
        <w:spacing w:after="160" w:before="360"/>
      </w:pPr>
      <w:r>
        <w:rPr>
          <w:rFonts w:ascii="Arial" w:cs="Arial" w:eastAsia="Arial" w:hAnsi="Arial"/>
          <w:b/>
          <w:bCs/>
          <w:color w:val="0B1426"/>
          <w:sz w:val="32"/>
          <w:szCs w:val="32"/>
        </w:rPr>
        <w:t xml:space="preserve">2. Quick Start</w:t>
      </w:r>
    </w:p>
    <w:p>
      <w:pPr>
        <w:spacing w:after="80" w:before="200"/>
      </w:pPr>
      <w:r>
        <w:rPr>
          <w:rFonts w:ascii="Arial" w:cs="Arial" w:eastAsia="Arial" w:hAnsi="Arial"/>
          <w:b/>
          <w:bCs/>
          <w:color w:val="1A2540"/>
          <w:sz w:val="22"/>
          <w:szCs w:val="22"/>
        </w:rPr>
        <w:t xml:space="preserve">Step 1 — Open the Excel template</w:t>
      </w:r>
    </w:p>
    <w:p>
      <w:pPr>
        <w:spacing w:after="80" w:before="60"/>
      </w:pPr>
      <w:r>
        <w:rPr>
          <w:rFonts w:ascii="Arial" w:cs="Arial" w:eastAsia="Arial" w:hAnsi="Arial"/>
          <w:color w:val="2C3E5A"/>
          <w:sz w:val="22"/>
          <w:szCs w:val="22"/>
        </w:rPr>
        <w:t xml:space="preserve">Open sales_bonus_template.xlsx. You will see four sheets along the bottom tab bar:</w:t>
      </w:r>
    </w:p>
    <w:p>
      <w:pPr>
        <w:pStyle w:val="ListParagraph"/>
        <w:numPr>
          <w:ilvl w:val="0"/>
          <w:numId w:val="2"/>
        </w:numPr>
        <w:spacing w:after="40" w:before="40"/>
      </w:pPr>
      <w:r>
        <w:rPr>
          <w:rFonts w:ascii="Arial" w:cs="Arial" w:eastAsia="Arial" w:hAnsi="Arial"/>
          <w:color w:val="2C3E5A"/>
          <w:sz w:val="22"/>
          <w:szCs w:val="22"/>
        </w:rPr>
        <w:t xml:space="preserve">Instructions — this overview (also in the file)</w:t>
      </w:r>
    </w:p>
    <w:p>
      <w:pPr>
        <w:pStyle w:val="ListParagraph"/>
        <w:numPr>
          <w:ilvl w:val="0"/>
          <w:numId w:val="2"/>
        </w:numPr>
        <w:spacing w:after="40" w:before="40"/>
      </w:pPr>
      <w:r>
        <w:rPr>
          <w:rFonts w:ascii="Arial" w:cs="Arial" w:eastAsia="Arial" w:hAnsi="Arial"/>
          <w:color w:val="2C3E5A"/>
          <w:sz w:val="22"/>
          <w:szCs w:val="22"/>
        </w:rPr>
        <w:t xml:space="preserve">Reps — one row per sales representative</w:t>
      </w:r>
    </w:p>
    <w:p>
      <w:pPr>
        <w:pStyle w:val="ListParagraph"/>
        <w:numPr>
          <w:ilvl w:val="0"/>
          <w:numId w:val="2"/>
        </w:numPr>
        <w:spacing w:after="40" w:before="40"/>
      </w:pPr>
      <w:r>
        <w:rPr>
          <w:rFonts w:ascii="Arial" w:cs="Arial" w:eastAsia="Arial" w:hAnsi="Arial"/>
          <w:color w:val="2C3E5A"/>
          <w:sz w:val="22"/>
          <w:szCs w:val="22"/>
        </w:rPr>
        <w:t xml:space="preserve">Tiers — bonus tier thresholds and percentages</w:t>
      </w:r>
    </w:p>
    <w:p>
      <w:pPr>
        <w:pStyle w:val="ListParagraph"/>
        <w:numPr>
          <w:ilvl w:val="0"/>
          <w:numId w:val="2"/>
        </w:numPr>
        <w:spacing w:after="40" w:before="40"/>
      </w:pPr>
      <w:r>
        <w:rPr>
          <w:rFonts w:ascii="Arial" w:cs="Arial" w:eastAsia="Arial" w:hAnsi="Arial"/>
          <w:color w:val="2C3E5A"/>
          <w:sz w:val="22"/>
          <w:szCs w:val="22"/>
        </w:rPr>
        <w:t xml:space="preserve">Goals — company-level targets by period</w:t>
      </w:r>
    </w:p>
    <w:p>
      <w:pPr>
        <w:spacing w:after="80" w:before="0"/>
      </w:pPr>
    </w:p>
    <w:p>
      <w:pPr>
        <w:spacing w:after="80" w:before="200"/>
      </w:pPr>
      <w:r>
        <w:rPr>
          <w:rFonts w:ascii="Arial" w:cs="Arial" w:eastAsia="Arial" w:hAnsi="Arial"/>
          <w:b/>
          <w:bCs/>
          <w:color w:val="1A2540"/>
          <w:sz w:val="22"/>
          <w:szCs w:val="22"/>
        </w:rPr>
        <w:t xml:space="preserve">Step 2 — Fill in your rep data</w:t>
      </w:r>
    </w:p>
    <w:p>
      <w:pPr>
        <w:spacing w:after="80" w:before="60"/>
      </w:pPr>
      <w:r>
        <w:rPr>
          <w:rFonts w:ascii="Arial" w:cs="Arial" w:eastAsia="Arial" w:hAnsi="Arial"/>
          <w:color w:val="2C3E5A"/>
          <w:sz w:val="22"/>
          <w:szCs w:val="22"/>
        </w:rPr>
        <w:t xml:space="preserve">Go to the Reps sheet and replace the sample data with your actual team. Each row is one rep. Do not change the column headers in row 2. See Section 3 for a full column reference.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0" w:sz="1"/>
              <w:left w:val="single" w:color="D0D5E0" w:sz="1"/>
              <w:bottom w:val="single" w:color="D0D5E0" w:sz="1"/>
              <w:right w:val="single" w:color="D0D5E0" w:sz="1"/>
            </w:tcBorders>
            <w:shd w:fill="FFF8E8" w:val="clear"/>
            <w:tcMar>
              <w:top w:type="dxa" w:w="100"/>
              <w:left w:type="dxa" w:w="160"/>
              <w:bottom w:type="dxa" w:w="100"/>
              <w:right w:type="dxa" w:w="160"/>
            </w:tcMar>
          </w:tcPr>
          <w:p>
            <w:r>
              <w:rPr>
                <w:rFonts w:ascii="Arial" w:cs="Arial" w:eastAsia="Arial" w:hAnsi="Arial"/>
                <w:b/>
                <w:bCs/>
                <w:color w:val="C9A84C"/>
                <w:sz w:val="20"/>
                <w:szCs w:val="20"/>
              </w:rPr>
              <w:t xml:space="preserve">ℹ  </w:t>
            </w:r>
            <w:r>
              <w:rPr>
                <w:rFonts w:ascii="Arial" w:cs="Arial" w:eastAsia="Arial" w:hAnsi="Arial"/>
                <w:color w:val="5A4200"/>
                <w:sz w:val="20"/>
                <w:szCs w:val="20"/>
              </w:rPr>
              <w:t xml:space="preserve">Department and Team names must be spelled and capitalized identically across all rows. Any variation — even a trailing space — will create a separate group in the dashboard.</w:t>
            </w:r>
          </w:p>
        </w:tc>
      </w:tr>
    </w:tbl>
    <w:p>
      <w:pPr>
        <w:spacing w:after="80" w:before="0"/>
      </w:pPr>
    </w:p>
    <w:p>
      <w:pPr>
        <w:spacing w:after="80" w:before="200"/>
      </w:pPr>
      <w:r>
        <w:rPr>
          <w:rFonts w:ascii="Arial" w:cs="Arial" w:eastAsia="Arial" w:hAnsi="Arial"/>
          <w:b/>
          <w:bCs/>
          <w:color w:val="1A2540"/>
          <w:sz w:val="22"/>
          <w:szCs w:val="22"/>
        </w:rPr>
        <w:t xml:space="preserve">Step 3 — Open the dashboard</w:t>
      </w:r>
    </w:p>
    <w:p>
      <w:pPr>
        <w:spacing w:after="80" w:before="60"/>
      </w:pPr>
      <w:r>
        <w:rPr>
          <w:rFonts w:ascii="Arial" w:cs="Arial" w:eastAsia="Arial" w:hAnsi="Arial"/>
          <w:color w:val="2C3E5A"/>
          <w:sz w:val="22"/>
          <w:szCs w:val="22"/>
        </w:rPr>
        <w:t xml:space="preserve">Open sales_bonus_dashboard.html in a modern web browser. Chrome or Edge is recommended. Double-clicking the file will open it directly — no installation needed.</w:t>
      </w:r>
    </w:p>
    <w:p>
      <w:pPr>
        <w:spacing w:after="80" w:before="0"/>
      </w:pPr>
    </w:p>
    <w:p>
      <w:pPr>
        <w:spacing w:after="80" w:before="200"/>
      </w:pPr>
      <w:r>
        <w:rPr>
          <w:rFonts w:ascii="Arial" w:cs="Arial" w:eastAsia="Arial" w:hAnsi="Arial"/>
          <w:b/>
          <w:bCs/>
          <w:color w:val="1A2540"/>
          <w:sz w:val="22"/>
          <w:szCs w:val="22"/>
        </w:rPr>
        <w:t xml:space="preserve">Step 4 — Upload your file</w:t>
      </w:r>
    </w:p>
    <w:p>
      <w:pPr>
        <w:spacing w:after="80" w:before="60"/>
      </w:pPr>
      <w:r>
        <w:rPr>
          <w:rFonts w:ascii="Arial" w:cs="Arial" w:eastAsia="Arial" w:hAnsi="Arial"/>
          <w:color w:val="2C3E5A"/>
          <w:sz w:val="22"/>
          <w:szCs w:val="22"/>
        </w:rPr>
        <w:t xml:space="preserve">Click the Upload Excel File button at the top of the dashboard. Select your completed sales_bonus_template.xlsx file. The dashboard will parse it immediately and render all charts, tables, and drill-downs. Nothing is sent to any server — all processing happens locally in the browser.</w:t>
      </w:r>
    </w:p>
    <w:p>
      <w:pPr>
        <w:spacing w:after="80" w:before="0"/>
      </w:pPr>
    </w:p>
    <w:p>
      <w:pPr>
        <w:spacing w:after="80" w:before="200"/>
      </w:pPr>
      <w:r>
        <w:rPr>
          <w:rFonts w:ascii="Arial" w:cs="Arial" w:eastAsia="Arial" w:hAnsi="Arial"/>
          <w:b/>
          <w:bCs/>
          <w:color w:val="1A2540"/>
          <w:sz w:val="22"/>
          <w:szCs w:val="22"/>
        </w:rPr>
        <w:t xml:space="preserve">Step 5 — Refresh when data changes</w:t>
      </w:r>
    </w:p>
    <w:p>
      <w:pPr>
        <w:spacing w:after="80" w:before="60"/>
      </w:pPr>
      <w:r>
        <w:rPr>
          <w:rFonts w:ascii="Arial" w:cs="Arial" w:eastAsia="Arial" w:hAnsi="Arial"/>
          <w:color w:val="2C3E5A"/>
          <w:sz w:val="22"/>
          <w:szCs w:val="22"/>
        </w:rPr>
        <w:t xml:space="preserve">Whenever you update the Excel file, return to the dashboard and upload the new version using the same Upload button. The entire dashboard will re-render with the latest data.</w:t>
      </w:r>
    </w:p>
    <w:p>
      <w:pPr>
        <w:spacing w:after="80" w:before="0"/>
      </w:pPr>
    </w:p>
    <w:p>
      <w:r>
        <w:br w:type="page"/>
      </w:r>
    </w:p>
    <w:p>
      <w:pPr>
        <w:pStyle w:val="Heading1"/>
        <w:pBdr>
          <w:bottom w:val="single" w:color="C9A84C" w:sz="6" w:space="6"/>
        </w:pBdr>
        <w:spacing w:after="160" w:before="360"/>
      </w:pPr>
      <w:r>
        <w:rPr>
          <w:rFonts w:ascii="Arial" w:cs="Arial" w:eastAsia="Arial" w:hAnsi="Arial"/>
          <w:b/>
          <w:bCs/>
          <w:color w:val="0B1426"/>
          <w:sz w:val="32"/>
          <w:szCs w:val="32"/>
        </w:rPr>
        <w:t xml:space="preserve">3. Reps Sheet — Column Reference</w:t>
      </w:r>
    </w:p>
    <w:p>
      <w:pPr>
        <w:spacing w:after="80" w:before="60"/>
      </w:pPr>
      <w:r>
        <w:rPr>
          <w:rFonts w:ascii="Arial" w:cs="Arial" w:eastAsia="Arial" w:hAnsi="Arial"/>
          <w:color w:val="2C3E5A"/>
          <w:sz w:val="22"/>
          <w:szCs w:val="22"/>
        </w:rPr>
        <w:t xml:space="preserve">The Reps sheet is the primary data source for all dashboard calculations. Columns are fixed — do not insert, delete, or rearrange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D0D5E0" w:sz="1"/>
              <w:left w:val="single" w:color="D0D5E0" w:sz="1"/>
              <w:bottom w:val="single" w:color="D0D5E0" w:sz="1"/>
              <w:right w:val="single" w:color="D0D5E0" w:sz="1"/>
            </w:tcBorders>
            <w:shd w:fill="0B1426" w:val="clear"/>
            <w:tcMar>
              <w:top w:type="dxa" w:w="100"/>
              <w:left w:type="dxa" w:w="160"/>
              <w:bottom w:type="dxa" w:w="100"/>
              <w:right w:type="dxa" w:w="160"/>
            </w:tcMar>
          </w:tcPr>
          <w:p>
            <w:r>
              <w:rPr>
                <w:rFonts w:ascii="Arial" w:cs="Arial" w:eastAsia="Arial" w:hAnsi="Arial"/>
                <w:b/>
                <w:bCs/>
                <w:color w:val="FFFFFF"/>
                <w:sz w:val="20"/>
                <w:szCs w:val="20"/>
              </w:rPr>
              <w:t xml:space="preserve">Col</w:t>
            </w:r>
          </w:p>
        </w:tc>
        <w:tc>
          <w:tcPr>
            <w:tcW w:type="dxa" w:w="2160"/>
            <w:tcBorders>
              <w:top w:val="single" w:color="D0D5E0" w:sz="1"/>
              <w:left w:val="single" w:color="D0D5E0" w:sz="1"/>
              <w:bottom w:val="single" w:color="D0D5E0" w:sz="1"/>
              <w:right w:val="single" w:color="D0D5E0" w:sz="1"/>
            </w:tcBorders>
            <w:shd w:fill="0B1426" w:val="clear"/>
            <w:tcMar>
              <w:top w:type="dxa" w:w="100"/>
              <w:left w:type="dxa" w:w="160"/>
              <w:bottom w:type="dxa" w:w="100"/>
              <w:right w:type="dxa" w:w="160"/>
            </w:tcMar>
          </w:tcPr>
          <w:p>
            <w:r>
              <w:rPr>
                <w:rFonts w:ascii="Arial" w:cs="Arial" w:eastAsia="Arial" w:hAnsi="Arial"/>
                <w:b/>
                <w:bCs/>
                <w:color w:val="FFFFFF"/>
                <w:sz w:val="20"/>
                <w:szCs w:val="20"/>
              </w:rPr>
              <w:t xml:space="preserve">Column Name</w:t>
            </w:r>
          </w:p>
        </w:tc>
        <w:tc>
          <w:tcPr>
            <w:tcW w:type="dxa" w:w="6480"/>
            <w:tcBorders>
              <w:top w:val="single" w:color="D0D5E0" w:sz="1"/>
              <w:left w:val="single" w:color="D0D5E0" w:sz="1"/>
              <w:bottom w:val="single" w:color="D0D5E0" w:sz="1"/>
              <w:right w:val="single" w:color="D0D5E0" w:sz="1"/>
            </w:tcBorders>
            <w:shd w:fill="0B1426"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72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bCs/>
                <w:color w:val="2C3E5A"/>
                <w:sz w:val="20"/>
                <w:szCs w:val="20"/>
              </w:rPr>
              <w:t xml:space="preserve">A</w:t>
            </w:r>
          </w:p>
        </w:tc>
        <w:tc>
          <w:tcPr>
            <w:tcW w:type="dxa" w:w="21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Rep Name</w:t>
            </w:r>
          </w:p>
        </w:tc>
        <w:tc>
          <w:tcPr>
            <w:tcW w:type="dxa" w:w="648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Full name of the sales representative</w:t>
            </w:r>
          </w:p>
        </w:tc>
      </w:tr>
      <w:tr>
        <w:tc>
          <w:tcPr>
            <w:tcW w:type="dxa" w:w="72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bCs/>
                <w:color w:val="2C3E5A"/>
                <w:sz w:val="20"/>
                <w:szCs w:val="20"/>
              </w:rPr>
              <w:t xml:space="preserve">B</w:t>
            </w:r>
          </w:p>
        </w:tc>
        <w:tc>
          <w:tcPr>
            <w:tcW w:type="dxa" w:w="21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Role</w:t>
            </w:r>
          </w:p>
        </w:tc>
        <w:tc>
          <w:tcPr>
            <w:tcW w:type="dxa" w:w="648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Job title (e.g. AE, Sr. AE, SDR, BDR, Partner AE)</w:t>
            </w:r>
          </w:p>
        </w:tc>
      </w:tr>
      <w:tr>
        <w:tc>
          <w:tcPr>
            <w:tcW w:type="dxa" w:w="72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bCs/>
                <w:color w:val="2C3E5A"/>
                <w:sz w:val="20"/>
                <w:szCs w:val="20"/>
              </w:rPr>
              <w:t xml:space="preserve">C</w:t>
            </w:r>
          </w:p>
        </w:tc>
        <w:tc>
          <w:tcPr>
            <w:tcW w:type="dxa" w:w="21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Department</w:t>
            </w:r>
          </w:p>
        </w:tc>
        <w:tc>
          <w:tcPr>
            <w:tcW w:type="dxa" w:w="648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Must match exactly across all rows for grouping to work</w:t>
            </w:r>
          </w:p>
        </w:tc>
      </w:tr>
      <w:tr>
        <w:tc>
          <w:tcPr>
            <w:tcW w:type="dxa" w:w="72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bCs/>
                <w:color w:val="2C3E5A"/>
                <w:sz w:val="20"/>
                <w:szCs w:val="20"/>
              </w:rPr>
              <w:t xml:space="preserve">D</w:t>
            </w:r>
          </w:p>
        </w:tc>
        <w:tc>
          <w:tcPr>
            <w:tcW w:type="dxa" w:w="21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Team</w:t>
            </w:r>
          </w:p>
        </w:tc>
        <w:tc>
          <w:tcPr>
            <w:tcW w:type="dxa" w:w="648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Sub-team within the department</w:t>
            </w:r>
          </w:p>
        </w:tc>
      </w:tr>
      <w:tr>
        <w:tc>
          <w:tcPr>
            <w:tcW w:type="dxa" w:w="72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bCs/>
                <w:color w:val="2C3E5A"/>
                <w:sz w:val="20"/>
                <w:szCs w:val="20"/>
              </w:rPr>
              <w:t xml:space="preserve">E</w:t>
            </w:r>
          </w:p>
        </w:tc>
        <w:tc>
          <w:tcPr>
            <w:tcW w:type="dxa" w:w="21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Team Lead</w:t>
            </w:r>
          </w:p>
        </w:tc>
        <w:tc>
          <w:tcPr>
            <w:tcW w:type="dxa" w:w="648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Name of the team lead (used in drill-down labels)</w:t>
            </w:r>
          </w:p>
        </w:tc>
      </w:tr>
      <w:tr>
        <w:tc>
          <w:tcPr>
            <w:tcW w:type="dxa" w:w="72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bCs/>
                <w:color w:val="2C3E5A"/>
                <w:sz w:val="20"/>
                <w:szCs w:val="20"/>
              </w:rPr>
              <w:t xml:space="preserve">F</w:t>
            </w:r>
          </w:p>
        </w:tc>
        <w:tc>
          <w:tcPr>
            <w:tcW w:type="dxa" w:w="21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Base Salary ($)</w:t>
            </w:r>
          </w:p>
        </w:tc>
        <w:tc>
          <w:tcPr>
            <w:tcW w:type="dxa" w:w="648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Annual base salary used to calculate bonus estimates</w:t>
            </w:r>
          </w:p>
        </w:tc>
      </w:tr>
      <w:tr>
        <w:tc>
          <w:tcPr>
            <w:tcW w:type="dxa" w:w="72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bCs/>
                <w:color w:val="2C3E5A"/>
                <w:sz w:val="20"/>
                <w:szCs w:val="20"/>
              </w:rPr>
              <w:t xml:space="preserve">G</w:t>
            </w:r>
          </w:p>
        </w:tc>
        <w:tc>
          <w:tcPr>
            <w:tcW w:type="dxa" w:w="21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Monthly Quota ($)</w:t>
            </w:r>
          </w:p>
        </w:tc>
        <w:tc>
          <w:tcPr>
            <w:tcW w:type="dxa" w:w="648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Revenue quota target for the current month</w:t>
            </w:r>
          </w:p>
        </w:tc>
      </w:tr>
      <w:tr>
        <w:tc>
          <w:tcPr>
            <w:tcW w:type="dxa" w:w="72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bCs/>
                <w:color w:val="2C3E5A"/>
                <w:sz w:val="20"/>
                <w:szCs w:val="20"/>
              </w:rPr>
              <w:t xml:space="preserve">H</w:t>
            </w:r>
          </w:p>
        </w:tc>
        <w:tc>
          <w:tcPr>
            <w:tcW w:type="dxa" w:w="21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Monthly Actual ($)</w:t>
            </w:r>
          </w:p>
        </w:tc>
        <w:tc>
          <w:tcPr>
            <w:tcW w:type="dxa" w:w="648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Revenue actually closed in the current month</w:t>
            </w:r>
          </w:p>
        </w:tc>
      </w:tr>
      <w:tr>
        <w:tc>
          <w:tcPr>
            <w:tcW w:type="dxa" w:w="72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bCs/>
                <w:color w:val="2C3E5A"/>
                <w:sz w:val="20"/>
                <w:szCs w:val="20"/>
              </w:rPr>
              <w:t xml:space="preserve">I</w:t>
            </w:r>
          </w:p>
        </w:tc>
        <w:tc>
          <w:tcPr>
            <w:tcW w:type="dxa" w:w="21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Q Quota ($)</w:t>
            </w:r>
          </w:p>
        </w:tc>
        <w:tc>
          <w:tcPr>
            <w:tcW w:type="dxa" w:w="648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Quarterly revenue quota target</w:t>
            </w:r>
          </w:p>
        </w:tc>
      </w:tr>
      <w:tr>
        <w:tc>
          <w:tcPr>
            <w:tcW w:type="dxa" w:w="72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bCs/>
                <w:color w:val="2C3E5A"/>
                <w:sz w:val="20"/>
                <w:szCs w:val="20"/>
              </w:rPr>
              <w:t xml:space="preserve">J</w:t>
            </w:r>
          </w:p>
        </w:tc>
        <w:tc>
          <w:tcPr>
            <w:tcW w:type="dxa" w:w="21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Q Actual ($)</w:t>
            </w:r>
          </w:p>
        </w:tc>
        <w:tc>
          <w:tcPr>
            <w:tcW w:type="dxa" w:w="648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Quarterly revenue actually closed</w:t>
            </w:r>
          </w:p>
        </w:tc>
      </w:tr>
      <w:tr>
        <w:tc>
          <w:tcPr>
            <w:tcW w:type="dxa" w:w="72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bCs/>
                <w:color w:val="2C3E5A"/>
                <w:sz w:val="20"/>
                <w:szCs w:val="20"/>
              </w:rPr>
              <w:t xml:space="preserve">K</w:t>
            </w:r>
          </w:p>
        </w:tc>
        <w:tc>
          <w:tcPr>
            <w:tcW w:type="dxa" w:w="21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YTD Quota ($)</w:t>
            </w:r>
          </w:p>
        </w:tc>
        <w:tc>
          <w:tcPr>
            <w:tcW w:type="dxa" w:w="648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Year-to-date quota target</w:t>
            </w:r>
          </w:p>
        </w:tc>
      </w:tr>
      <w:tr>
        <w:tc>
          <w:tcPr>
            <w:tcW w:type="dxa" w:w="72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bCs/>
                <w:color w:val="2C3E5A"/>
                <w:sz w:val="20"/>
                <w:szCs w:val="20"/>
              </w:rPr>
              <w:t xml:space="preserve">L</w:t>
            </w:r>
          </w:p>
        </w:tc>
        <w:tc>
          <w:tcPr>
            <w:tcW w:type="dxa" w:w="21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YTD Actual ($)</w:t>
            </w:r>
          </w:p>
        </w:tc>
        <w:tc>
          <w:tcPr>
            <w:tcW w:type="dxa" w:w="648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Year-to-date revenue closed</w:t>
            </w:r>
          </w:p>
        </w:tc>
      </w:tr>
      <w:tr>
        <w:tc>
          <w:tcPr>
            <w:tcW w:type="dxa" w:w="72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bCs/>
                <w:color w:val="2C3E5A"/>
                <w:sz w:val="20"/>
                <w:szCs w:val="20"/>
              </w:rPr>
              <w:t xml:space="preserve">M</w:t>
            </w:r>
          </w:p>
        </w:tc>
        <w:tc>
          <w:tcPr>
            <w:tcW w:type="dxa" w:w="21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Notes</w:t>
            </w:r>
          </w:p>
        </w:tc>
        <w:tc>
          <w:tcPr>
            <w:tcW w:type="dxa" w:w="648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b w:val="false"/>
                <w:bCs w:val="false"/>
                <w:color w:val="2C3E5A"/>
                <w:sz w:val="20"/>
                <w:szCs w:val="20"/>
              </w:rPr>
              <w:t xml:space="preserve">Optional free-text notes (not shown in dashboard)</w:t>
            </w:r>
          </w:p>
        </w:tc>
      </w:tr>
      <w:tr>
        <w:tc>
          <w:tcPr>
            <w:tcW w:type="dxa" w:w="72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bCs/>
                <w:color w:val="2C3E5A"/>
                <w:sz w:val="20"/>
                <w:szCs w:val="20"/>
              </w:rPr>
              <w:t xml:space="preserve">N</w:t>
            </w:r>
          </w:p>
        </w:tc>
        <w:tc>
          <w:tcPr>
            <w:tcW w:type="dxa" w:w="21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Active (Y/N)</w:t>
            </w:r>
          </w:p>
        </w:tc>
        <w:tc>
          <w:tcPr>
            <w:tcW w:type="dxa" w:w="648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b w:val="false"/>
                <w:bCs w:val="false"/>
                <w:color w:val="2C3E5A"/>
                <w:sz w:val="20"/>
                <w:szCs w:val="20"/>
              </w:rPr>
              <w:t xml:space="preserve">Set to N to exclude a rep from all calculations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0" w:sz="1"/>
              <w:left w:val="single" w:color="D0D5E0" w:sz="1"/>
              <w:bottom w:val="single" w:color="D0D5E0" w:sz="1"/>
              <w:right w:val="single" w:color="D0D5E0" w:sz="1"/>
            </w:tcBorders>
            <w:shd w:fill="FFF8E8" w:val="clear"/>
            <w:tcMar>
              <w:top w:type="dxa" w:w="100"/>
              <w:left w:type="dxa" w:w="160"/>
              <w:bottom w:type="dxa" w:w="100"/>
              <w:right w:type="dxa" w:w="160"/>
            </w:tcMar>
          </w:tcPr>
          <w:p>
            <w:r>
              <w:rPr>
                <w:rFonts w:ascii="Arial" w:cs="Arial" w:eastAsia="Arial" w:hAnsi="Arial"/>
                <w:b/>
                <w:bCs/>
                <w:color w:val="C9A84C"/>
                <w:sz w:val="20"/>
                <w:szCs w:val="20"/>
              </w:rPr>
              <w:t xml:space="preserve">ℹ  </w:t>
            </w:r>
            <w:r>
              <w:rPr>
                <w:rFonts w:ascii="Arial" w:cs="Arial" w:eastAsia="Arial" w:hAnsi="Arial"/>
                <w:color w:val="5A4200"/>
                <w:sz w:val="20"/>
                <w:szCs w:val="20"/>
              </w:rPr>
              <w:t xml:space="preserve">Attainment % and bonus estimates are calculated automatically by the dashboard. You do not need to enter these — only enter the raw quota and actual figures.</w:t>
            </w:r>
          </w:p>
        </w:tc>
      </w:tr>
    </w:tbl>
    <w:p>
      <w:pPr>
        <w:spacing w:after="80" w:before="0"/>
      </w:pPr>
    </w:p>
    <w:p>
      <w:pPr>
        <w:pStyle w:val="Heading2"/>
        <w:spacing w:after="100" w:before="280"/>
      </w:pPr>
      <w:r>
        <w:rPr>
          <w:rFonts w:ascii="Arial" w:cs="Arial" w:eastAsia="Arial" w:hAnsi="Arial"/>
          <w:b/>
          <w:bCs/>
          <w:color w:val="0B1426"/>
          <w:sz w:val="26"/>
          <w:szCs w:val="26"/>
        </w:rPr>
        <w:t xml:space="preserve">Adding and removing reps</w:t>
      </w:r>
    </w:p>
    <w:p>
      <w:pPr>
        <w:pStyle w:val="ListParagraph"/>
        <w:numPr>
          <w:ilvl w:val="0"/>
          <w:numId w:val="2"/>
        </w:numPr>
        <w:spacing w:after="40" w:before="40"/>
      </w:pPr>
      <w:r>
        <w:rPr>
          <w:rFonts w:ascii="Arial" w:cs="Arial" w:eastAsia="Arial" w:hAnsi="Arial"/>
          <w:color w:val="2C3E5A"/>
          <w:sz w:val="22"/>
          <w:szCs w:val="22"/>
        </w:rPr>
        <w:t xml:space="preserve">To add a rep: add a new row below the last entry. All columns must be filled (except Notes).</w:t>
      </w:r>
    </w:p>
    <w:p>
      <w:pPr>
        <w:pStyle w:val="ListParagraph"/>
        <w:numPr>
          <w:ilvl w:val="0"/>
          <w:numId w:val="2"/>
        </w:numPr>
        <w:spacing w:after="40" w:before="40"/>
      </w:pPr>
      <w:r>
        <w:rPr>
          <w:rFonts w:ascii="Arial" w:cs="Arial" w:eastAsia="Arial" w:hAnsi="Arial"/>
          <w:color w:val="2C3E5A"/>
          <w:sz w:val="22"/>
          <w:szCs w:val="22"/>
        </w:rPr>
        <w:t xml:space="preserve">To remove a rep temporarily: set column N (Active) to N. The rep will be excluded from all calculations but the row is preserved.</w:t>
      </w:r>
    </w:p>
    <w:p>
      <w:pPr>
        <w:pStyle w:val="ListParagraph"/>
        <w:numPr>
          <w:ilvl w:val="0"/>
          <w:numId w:val="2"/>
        </w:numPr>
        <w:spacing w:after="40" w:before="40"/>
      </w:pPr>
      <w:r>
        <w:rPr>
          <w:rFonts w:ascii="Arial" w:cs="Arial" w:eastAsia="Arial" w:hAnsi="Arial"/>
          <w:color w:val="2C3E5A"/>
          <w:sz w:val="22"/>
          <w:szCs w:val="22"/>
        </w:rPr>
        <w:t xml:space="preserve">To remove a rep permanently: delete the entire row.</w:t>
      </w:r>
    </w:p>
    <w:p>
      <w:pPr>
        <w:pStyle w:val="ListParagraph"/>
        <w:numPr>
          <w:ilvl w:val="0"/>
          <w:numId w:val="2"/>
        </w:numPr>
        <w:spacing w:after="40" w:before="40"/>
      </w:pPr>
      <w:r>
        <w:rPr>
          <w:rFonts w:ascii="Arial" w:cs="Arial" w:eastAsia="Arial" w:hAnsi="Arial"/>
          <w:color w:val="2C3E5A"/>
          <w:sz w:val="22"/>
          <w:szCs w:val="22"/>
        </w:rPr>
        <w:t xml:space="preserve">Do not leave blank rows between data rows — this can cause the parser to stop reading early.</w:t>
      </w:r>
    </w:p>
    <w:p>
      <w:pPr>
        <w:spacing w:after="80" w:before="0"/>
      </w:pPr>
    </w:p>
    <w:p>
      <w:r>
        <w:br w:type="page"/>
      </w:r>
    </w:p>
    <w:p>
      <w:pPr>
        <w:pStyle w:val="Heading1"/>
        <w:pBdr>
          <w:bottom w:val="single" w:color="C9A84C" w:sz="6" w:space="6"/>
        </w:pBdr>
        <w:spacing w:after="160" w:before="360"/>
      </w:pPr>
      <w:r>
        <w:rPr>
          <w:rFonts w:ascii="Arial" w:cs="Arial" w:eastAsia="Arial" w:hAnsi="Arial"/>
          <w:b/>
          <w:bCs/>
          <w:color w:val="0B1426"/>
          <w:sz w:val="32"/>
          <w:szCs w:val="32"/>
        </w:rPr>
        <w:t xml:space="preserve">4. Tiers Sheet — Bonus Configuration</w:t>
      </w:r>
    </w:p>
    <w:p>
      <w:pPr>
        <w:spacing w:after="80" w:before="60"/>
      </w:pPr>
      <w:r>
        <w:rPr>
          <w:rFonts w:ascii="Arial" w:cs="Arial" w:eastAsia="Arial" w:hAnsi="Arial"/>
          <w:color w:val="2C3E5A"/>
          <w:sz w:val="22"/>
          <w:szCs w:val="22"/>
        </w:rPr>
        <w:t xml:space="preserve">The Tiers sheet defines how attainment percentages map to bonus payouts. The dashboard reads this sheet on every upload, so you can change the tier structure at any time without touching the HTML file.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4320"/>
      </w:tblGrid>
      <w:tr>
        <w:trPr>
          <w:tblHeader/>
        </w:trPr>
        <w:tc>
          <w:tcPr>
            <w:tcW w:type="dxa" w:w="1440"/>
            <w:tcBorders>
              <w:top w:val="single" w:color="D0D5E0" w:sz="1"/>
              <w:left w:val="single" w:color="D0D5E0" w:sz="1"/>
              <w:bottom w:val="single" w:color="D0D5E0" w:sz="1"/>
              <w:right w:val="single" w:color="D0D5E0" w:sz="1"/>
            </w:tcBorders>
            <w:shd w:fill="0B1426"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1440"/>
            <w:tcBorders>
              <w:top w:val="single" w:color="D0D5E0" w:sz="1"/>
              <w:left w:val="single" w:color="D0D5E0" w:sz="1"/>
              <w:bottom w:val="single" w:color="D0D5E0" w:sz="1"/>
              <w:right w:val="single" w:color="D0D5E0" w:sz="1"/>
            </w:tcBorders>
            <w:shd w:fill="0B1426" w:val="clear"/>
            <w:tcMar>
              <w:top w:type="dxa" w:w="100"/>
              <w:left w:type="dxa" w:w="160"/>
              <w:bottom w:type="dxa" w:w="100"/>
              <w:right w:type="dxa" w:w="160"/>
            </w:tcMar>
          </w:tcPr>
          <w:p>
            <w:r>
              <w:rPr>
                <w:rFonts w:ascii="Arial" w:cs="Arial" w:eastAsia="Arial" w:hAnsi="Arial"/>
                <w:b/>
                <w:bCs/>
                <w:color w:val="FFFFFF"/>
                <w:sz w:val="20"/>
                <w:szCs w:val="20"/>
              </w:rPr>
              <w:t xml:space="preserve">Attainment</w:t>
            </w:r>
          </w:p>
        </w:tc>
        <w:tc>
          <w:tcPr>
            <w:tcW w:type="dxa" w:w="2160"/>
            <w:tcBorders>
              <w:top w:val="single" w:color="D0D5E0" w:sz="1"/>
              <w:left w:val="single" w:color="D0D5E0" w:sz="1"/>
              <w:bottom w:val="single" w:color="D0D5E0" w:sz="1"/>
              <w:right w:val="single" w:color="D0D5E0" w:sz="1"/>
            </w:tcBorders>
            <w:shd w:fill="0B1426" w:val="clear"/>
            <w:tcMar>
              <w:top w:type="dxa" w:w="100"/>
              <w:left w:type="dxa" w:w="160"/>
              <w:bottom w:type="dxa" w:w="100"/>
              <w:right w:type="dxa" w:w="160"/>
            </w:tcMar>
          </w:tcPr>
          <w:p>
            <w:r>
              <w:rPr>
                <w:rFonts w:ascii="Arial" w:cs="Arial" w:eastAsia="Arial" w:hAnsi="Arial"/>
                <w:b/>
                <w:bCs/>
                <w:color w:val="FFFFFF"/>
                <w:sz w:val="20"/>
                <w:szCs w:val="20"/>
              </w:rPr>
              <w:t xml:space="preserve">Bonus %</w:t>
            </w:r>
          </w:p>
        </w:tc>
        <w:tc>
          <w:tcPr>
            <w:tcW w:type="dxa" w:w="4320"/>
            <w:tcBorders>
              <w:top w:val="single" w:color="D0D5E0" w:sz="1"/>
              <w:left w:val="single" w:color="D0D5E0" w:sz="1"/>
              <w:bottom w:val="single" w:color="D0D5E0" w:sz="1"/>
              <w:right w:val="single" w:color="D0D5E0" w:sz="1"/>
            </w:tcBorders>
            <w:shd w:fill="0B1426" w:val="clear"/>
            <w:tcMar>
              <w:top w:type="dxa" w:w="100"/>
              <w:left w:type="dxa" w:w="160"/>
              <w:bottom w:type="dxa" w:w="100"/>
              <w:right w:type="dxa" w:w="160"/>
            </w:tcMar>
          </w:tcPr>
          <w:p>
            <w:r>
              <w:rPr>
                <w:rFonts w:ascii="Arial" w:cs="Arial" w:eastAsia="Arial" w:hAnsi="Arial"/>
                <w:b/>
                <w:bCs/>
                <w:color w:val="FFFFFF"/>
                <w:sz w:val="20"/>
                <w:szCs w:val="20"/>
              </w:rPr>
              <w:t xml:space="preserve">Accelerator / Notes</w:t>
            </w:r>
          </w:p>
        </w:tc>
      </w:tr>
      <w:tr>
        <w:tc>
          <w:tcPr>
            <w:tcW w:type="dxa" w:w="1440"/>
            <w:tcBorders>
              <w:top w:val="single" w:color="D0D5E0" w:sz="1"/>
              <w:left w:val="single" w:color="D0D5E0" w:sz="1"/>
              <w:bottom w:val="single" w:color="D0D5E0" w:sz="1"/>
              <w:right w:val="single" w:color="D0D5E0" w:sz="1"/>
            </w:tcBorders>
            <w:shd w:fill="FFFBF0" w:val="clear"/>
            <w:tcMar>
              <w:top w:type="dxa" w:w="100"/>
              <w:left w:type="dxa" w:w="160"/>
              <w:bottom w:type="dxa" w:w="100"/>
              <w:right w:type="dxa" w:w="160"/>
            </w:tcMar>
          </w:tcPr>
          <w:p>
            <w:r>
              <w:rPr>
                <w:rFonts w:ascii="Arial" w:cs="Arial" w:eastAsia="Arial" w:hAnsi="Arial"/>
                <w:b/>
                <w:bCs/>
                <w:color w:val="C9A84C"/>
                <w:sz w:val="20"/>
                <w:szCs w:val="20"/>
              </w:rPr>
              <w:t xml:space="preserve">Gold</w:t>
            </w:r>
          </w:p>
        </w:tc>
        <w:tc>
          <w:tcPr>
            <w:tcW w:type="dxa" w:w="1440"/>
            <w:tcBorders>
              <w:top w:val="single" w:color="D0D5E0" w:sz="1"/>
              <w:left w:val="single" w:color="D0D5E0" w:sz="1"/>
              <w:bottom w:val="single" w:color="D0D5E0" w:sz="1"/>
              <w:right w:val="single" w:color="D0D5E0" w:sz="1"/>
            </w:tcBorders>
            <w:shd w:fill="FFFBF0" w:val="clear"/>
            <w:tcMar>
              <w:top w:type="dxa" w:w="100"/>
              <w:left w:type="dxa" w:w="160"/>
              <w:bottom w:type="dxa" w:w="100"/>
              <w:right w:type="dxa" w:w="160"/>
            </w:tcMar>
          </w:tcPr>
          <w:p>
            <w:r>
              <w:rPr>
                <w:rFonts w:ascii="Arial" w:cs="Arial" w:eastAsia="Arial" w:hAnsi="Arial"/>
                <w:b w:val="false"/>
                <w:bCs w:val="false"/>
                <w:color w:val="2C3E5A"/>
                <w:sz w:val="20"/>
                <w:szCs w:val="20"/>
              </w:rPr>
              <w:t xml:space="preserve">≥ 110%</w:t>
            </w:r>
          </w:p>
        </w:tc>
        <w:tc>
          <w:tcPr>
            <w:tcW w:type="dxa" w:w="2160"/>
            <w:tcBorders>
              <w:top w:val="single" w:color="D0D5E0" w:sz="1"/>
              <w:left w:val="single" w:color="D0D5E0" w:sz="1"/>
              <w:bottom w:val="single" w:color="D0D5E0" w:sz="1"/>
              <w:right w:val="single" w:color="D0D5E0" w:sz="1"/>
            </w:tcBorders>
            <w:shd w:fill="FFFBF0" w:val="clear"/>
            <w:tcMar>
              <w:top w:type="dxa" w:w="100"/>
              <w:left w:type="dxa" w:w="160"/>
              <w:bottom w:type="dxa" w:w="100"/>
              <w:right w:type="dxa" w:w="160"/>
            </w:tcMar>
          </w:tcPr>
          <w:p>
            <w:r>
              <w:rPr>
                <w:rFonts w:ascii="Arial" w:cs="Arial" w:eastAsia="Arial" w:hAnsi="Arial"/>
                <w:b w:val="false"/>
                <w:bCs w:val="false"/>
                <w:color w:val="2C3E5A"/>
                <w:sz w:val="20"/>
                <w:szCs w:val="20"/>
              </w:rPr>
              <w:t xml:space="preserve">15% of base salary</w:t>
            </w:r>
          </w:p>
        </w:tc>
        <w:tc>
          <w:tcPr>
            <w:tcW w:type="dxa" w:w="4320"/>
            <w:tcBorders>
              <w:top w:val="single" w:color="D0D5E0" w:sz="1"/>
              <w:left w:val="single" w:color="D0D5E0" w:sz="1"/>
              <w:bottom w:val="single" w:color="D0D5E0" w:sz="1"/>
              <w:right w:val="single" w:color="D0D5E0" w:sz="1"/>
            </w:tcBorders>
            <w:shd w:fill="FFFBF0" w:val="clear"/>
            <w:tcMar>
              <w:top w:type="dxa" w:w="100"/>
              <w:left w:type="dxa" w:w="160"/>
              <w:bottom w:type="dxa" w:w="100"/>
              <w:right w:type="dxa" w:w="160"/>
            </w:tcMar>
          </w:tcPr>
          <w:p>
            <w:r>
              <w:rPr>
                <w:rFonts w:ascii="Arial" w:cs="Arial" w:eastAsia="Arial" w:hAnsi="Arial"/>
                <w:b w:val="false"/>
                <w:bCs w:val="false"/>
                <w:color w:val="2C3E5A"/>
                <w:sz w:val="20"/>
                <w:szCs w:val="20"/>
              </w:rPr>
              <w:t xml:space="preserve">1.5× at 120%+, 2× at 130%+</w:t>
            </w:r>
          </w:p>
        </w:tc>
      </w:tr>
      <w:tr>
        <w:tc>
          <w:tcPr>
            <w:tcW w:type="dxa" w:w="1440"/>
            <w:tcBorders>
              <w:top w:val="single" w:color="D0D5E0" w:sz="1"/>
              <w:left w:val="single" w:color="D0D5E0" w:sz="1"/>
              <w:bottom w:val="single" w:color="D0D5E0" w:sz="1"/>
              <w:right w:val="single" w:color="D0D5E0" w:sz="1"/>
            </w:tcBorders>
            <w:shd w:fill="F8F9FA" w:val="clear"/>
            <w:tcMar>
              <w:top w:type="dxa" w:w="100"/>
              <w:left w:type="dxa" w:w="160"/>
              <w:bottom w:type="dxa" w:w="100"/>
              <w:right w:type="dxa" w:w="160"/>
            </w:tcMar>
          </w:tcPr>
          <w:p>
            <w:r>
              <w:rPr>
                <w:rFonts w:ascii="Arial" w:cs="Arial" w:eastAsia="Arial" w:hAnsi="Arial"/>
                <w:b/>
                <w:bCs/>
                <w:color w:val="9CA3B0"/>
                <w:sz w:val="20"/>
                <w:szCs w:val="20"/>
              </w:rPr>
              <w:t xml:space="preserve">Silver</w:t>
            </w:r>
          </w:p>
        </w:tc>
        <w:tc>
          <w:tcPr>
            <w:tcW w:type="dxa" w:w="1440"/>
            <w:tcBorders>
              <w:top w:val="single" w:color="D0D5E0" w:sz="1"/>
              <w:left w:val="single" w:color="D0D5E0" w:sz="1"/>
              <w:bottom w:val="single" w:color="D0D5E0" w:sz="1"/>
              <w:right w:val="single" w:color="D0D5E0" w:sz="1"/>
            </w:tcBorders>
            <w:shd w:fill="F8F9FA" w:val="clear"/>
            <w:tcMar>
              <w:top w:type="dxa" w:w="100"/>
              <w:left w:type="dxa" w:w="160"/>
              <w:bottom w:type="dxa" w:w="100"/>
              <w:right w:type="dxa" w:w="160"/>
            </w:tcMar>
          </w:tcPr>
          <w:p>
            <w:r>
              <w:rPr>
                <w:rFonts w:ascii="Arial" w:cs="Arial" w:eastAsia="Arial" w:hAnsi="Arial"/>
                <w:b w:val="false"/>
                <w:bCs w:val="false"/>
                <w:color w:val="2C3E5A"/>
                <w:sz w:val="20"/>
                <w:szCs w:val="20"/>
              </w:rPr>
              <w:t xml:space="preserve">100–109%</w:t>
            </w:r>
          </w:p>
        </w:tc>
        <w:tc>
          <w:tcPr>
            <w:tcW w:type="dxa" w:w="2160"/>
            <w:tcBorders>
              <w:top w:val="single" w:color="D0D5E0" w:sz="1"/>
              <w:left w:val="single" w:color="D0D5E0" w:sz="1"/>
              <w:bottom w:val="single" w:color="D0D5E0" w:sz="1"/>
              <w:right w:val="single" w:color="D0D5E0" w:sz="1"/>
            </w:tcBorders>
            <w:shd w:fill="F8F9FA" w:val="clear"/>
            <w:tcMar>
              <w:top w:type="dxa" w:w="100"/>
              <w:left w:type="dxa" w:w="160"/>
              <w:bottom w:type="dxa" w:w="100"/>
              <w:right w:type="dxa" w:w="160"/>
            </w:tcMar>
          </w:tcPr>
          <w:p>
            <w:r>
              <w:rPr>
                <w:rFonts w:ascii="Arial" w:cs="Arial" w:eastAsia="Arial" w:hAnsi="Arial"/>
                <w:b w:val="false"/>
                <w:bCs w:val="false"/>
                <w:color w:val="2C3E5A"/>
                <w:sz w:val="20"/>
                <w:szCs w:val="20"/>
              </w:rPr>
              <w:t xml:space="preserve">10% of base salary</w:t>
            </w:r>
          </w:p>
        </w:tc>
        <w:tc>
          <w:tcPr>
            <w:tcW w:type="dxa" w:w="4320"/>
            <w:tcBorders>
              <w:top w:val="single" w:color="D0D5E0" w:sz="1"/>
              <w:left w:val="single" w:color="D0D5E0" w:sz="1"/>
              <w:bottom w:val="single" w:color="D0D5E0" w:sz="1"/>
              <w:right w:val="single" w:color="D0D5E0" w:sz="1"/>
            </w:tcBorders>
            <w:shd w:fill="F8F9FA" w:val="clear"/>
            <w:tcMar>
              <w:top w:type="dxa" w:w="100"/>
              <w:left w:type="dxa" w:w="160"/>
              <w:bottom w:type="dxa" w:w="100"/>
              <w:right w:type="dxa" w:w="160"/>
            </w:tcMar>
          </w:tcPr>
          <w:p>
            <w:r>
              <w:rPr>
                <w:rFonts w:ascii="Arial" w:cs="Arial" w:eastAsia="Arial" w:hAnsi="Arial"/>
                <w:b w:val="false"/>
                <w:bCs w:val="false"/>
                <w:color w:val="2C3E5A"/>
                <w:sz w:val="20"/>
                <w:szCs w:val="20"/>
              </w:rPr>
              <w:t xml:space="preserve">Standard rate (1×)</w:t>
            </w:r>
          </w:p>
        </w:tc>
      </w:tr>
      <w:tr>
        <w:tc>
          <w:tcPr>
            <w:tcW w:type="dxa" w:w="1440"/>
            <w:tcBorders>
              <w:top w:val="single" w:color="D0D5E0" w:sz="1"/>
              <w:left w:val="single" w:color="D0D5E0" w:sz="1"/>
              <w:bottom w:val="single" w:color="D0D5E0" w:sz="1"/>
              <w:right w:val="single" w:color="D0D5E0" w:sz="1"/>
            </w:tcBorders>
            <w:shd w:fill="FFFAF5" w:val="clear"/>
            <w:tcMar>
              <w:top w:type="dxa" w:w="100"/>
              <w:left w:type="dxa" w:w="160"/>
              <w:bottom w:type="dxa" w:w="100"/>
              <w:right w:type="dxa" w:w="160"/>
            </w:tcMar>
          </w:tcPr>
          <w:p>
            <w:r>
              <w:rPr>
                <w:rFonts w:ascii="Arial" w:cs="Arial" w:eastAsia="Arial" w:hAnsi="Arial"/>
                <w:b/>
                <w:bCs/>
                <w:color w:val="CD7F32"/>
                <w:sz w:val="20"/>
                <w:szCs w:val="20"/>
              </w:rPr>
              <w:t xml:space="preserve">Bronze</w:t>
            </w:r>
          </w:p>
        </w:tc>
        <w:tc>
          <w:tcPr>
            <w:tcW w:type="dxa" w:w="1440"/>
            <w:tcBorders>
              <w:top w:val="single" w:color="D0D5E0" w:sz="1"/>
              <w:left w:val="single" w:color="D0D5E0" w:sz="1"/>
              <w:bottom w:val="single" w:color="D0D5E0" w:sz="1"/>
              <w:right w:val="single" w:color="D0D5E0" w:sz="1"/>
            </w:tcBorders>
            <w:shd w:fill="FFFAF5" w:val="clear"/>
            <w:tcMar>
              <w:top w:type="dxa" w:w="100"/>
              <w:left w:type="dxa" w:w="160"/>
              <w:bottom w:type="dxa" w:w="100"/>
              <w:right w:type="dxa" w:w="160"/>
            </w:tcMar>
          </w:tcPr>
          <w:p>
            <w:r>
              <w:rPr>
                <w:rFonts w:ascii="Arial" w:cs="Arial" w:eastAsia="Arial" w:hAnsi="Arial"/>
                <w:b w:val="false"/>
                <w:bCs w:val="false"/>
                <w:color w:val="2C3E5A"/>
                <w:sz w:val="20"/>
                <w:szCs w:val="20"/>
              </w:rPr>
              <w:t xml:space="preserve">80–99%</w:t>
            </w:r>
          </w:p>
        </w:tc>
        <w:tc>
          <w:tcPr>
            <w:tcW w:type="dxa" w:w="2160"/>
            <w:tcBorders>
              <w:top w:val="single" w:color="D0D5E0" w:sz="1"/>
              <w:left w:val="single" w:color="D0D5E0" w:sz="1"/>
              <w:bottom w:val="single" w:color="D0D5E0" w:sz="1"/>
              <w:right w:val="single" w:color="D0D5E0" w:sz="1"/>
            </w:tcBorders>
            <w:shd w:fill="FFFAF5" w:val="clear"/>
            <w:tcMar>
              <w:top w:type="dxa" w:w="100"/>
              <w:left w:type="dxa" w:w="160"/>
              <w:bottom w:type="dxa" w:w="100"/>
              <w:right w:type="dxa" w:w="160"/>
            </w:tcMar>
          </w:tcPr>
          <w:p>
            <w:r>
              <w:rPr>
                <w:rFonts w:ascii="Arial" w:cs="Arial" w:eastAsia="Arial" w:hAnsi="Arial"/>
                <w:b w:val="false"/>
                <w:bCs w:val="false"/>
                <w:color w:val="2C3E5A"/>
                <w:sz w:val="20"/>
                <w:szCs w:val="20"/>
              </w:rPr>
              <w:t xml:space="preserve">5% of base salary</w:t>
            </w:r>
          </w:p>
        </w:tc>
        <w:tc>
          <w:tcPr>
            <w:tcW w:type="dxa" w:w="4320"/>
            <w:tcBorders>
              <w:top w:val="single" w:color="D0D5E0" w:sz="1"/>
              <w:left w:val="single" w:color="D0D5E0" w:sz="1"/>
              <w:bottom w:val="single" w:color="D0D5E0" w:sz="1"/>
              <w:right w:val="single" w:color="D0D5E0" w:sz="1"/>
            </w:tcBorders>
            <w:shd w:fill="FFFAF5" w:val="clear"/>
            <w:tcMar>
              <w:top w:type="dxa" w:w="100"/>
              <w:left w:type="dxa" w:w="160"/>
              <w:bottom w:type="dxa" w:w="100"/>
              <w:right w:type="dxa" w:w="160"/>
            </w:tcMar>
          </w:tcPr>
          <w:p>
            <w:r>
              <w:rPr>
                <w:rFonts w:ascii="Arial" w:cs="Arial" w:eastAsia="Arial" w:hAnsi="Arial"/>
                <w:b w:val="false"/>
                <w:bCs w:val="false"/>
                <w:color w:val="2C3E5A"/>
                <w:sz w:val="20"/>
                <w:szCs w:val="20"/>
              </w:rPr>
              <w:t xml:space="preserve">Standard rate (1×)</w:t>
            </w:r>
          </w:p>
        </w:tc>
      </w:tr>
      <w:tr>
        <w:tc>
          <w:tcPr>
            <w:tcW w:type="dxa" w:w="1440"/>
            <w:tcBorders>
              <w:top w:val="single" w:color="D0D5E0" w:sz="1"/>
              <w:left w:val="single" w:color="D0D5E0" w:sz="1"/>
              <w:bottom w:val="single" w:color="D0D5E0" w:sz="1"/>
              <w:right w:val="single" w:color="D0D5E0" w:sz="1"/>
            </w:tcBorders>
            <w:shd w:fill="FFF5F5" w:val="clear"/>
            <w:tcMar>
              <w:top w:type="dxa" w:w="100"/>
              <w:left w:type="dxa" w:w="160"/>
              <w:bottom w:type="dxa" w:w="100"/>
              <w:right w:type="dxa" w:w="160"/>
            </w:tcMar>
          </w:tcPr>
          <w:p>
            <w:r>
              <w:rPr>
                <w:rFonts w:ascii="Arial" w:cs="Arial" w:eastAsia="Arial" w:hAnsi="Arial"/>
                <w:b/>
                <w:bCs/>
                <w:color w:val="E24B4A"/>
                <w:sz w:val="20"/>
                <w:szCs w:val="20"/>
              </w:rPr>
              <w:t xml:space="preserve">Below Target</w:t>
            </w:r>
          </w:p>
        </w:tc>
        <w:tc>
          <w:tcPr>
            <w:tcW w:type="dxa" w:w="1440"/>
            <w:tcBorders>
              <w:top w:val="single" w:color="D0D5E0" w:sz="1"/>
              <w:left w:val="single" w:color="D0D5E0" w:sz="1"/>
              <w:bottom w:val="single" w:color="D0D5E0" w:sz="1"/>
              <w:right w:val="single" w:color="D0D5E0" w:sz="1"/>
            </w:tcBorders>
            <w:shd w:fill="FFF5F5" w:val="clear"/>
            <w:tcMar>
              <w:top w:type="dxa" w:w="100"/>
              <w:left w:type="dxa" w:w="160"/>
              <w:bottom w:type="dxa" w:w="100"/>
              <w:right w:type="dxa" w:w="160"/>
            </w:tcMar>
          </w:tcPr>
          <w:p>
            <w:r>
              <w:rPr>
                <w:rFonts w:ascii="Arial" w:cs="Arial" w:eastAsia="Arial" w:hAnsi="Arial"/>
                <w:b w:val="false"/>
                <w:bCs w:val="false"/>
                <w:color w:val="2C3E5A"/>
                <w:sz w:val="20"/>
                <w:szCs w:val="20"/>
              </w:rPr>
              <w:t xml:space="preserve">&lt; 80%</w:t>
            </w:r>
          </w:p>
        </w:tc>
        <w:tc>
          <w:tcPr>
            <w:tcW w:type="dxa" w:w="2160"/>
            <w:tcBorders>
              <w:top w:val="single" w:color="D0D5E0" w:sz="1"/>
              <w:left w:val="single" w:color="D0D5E0" w:sz="1"/>
              <w:bottom w:val="single" w:color="D0D5E0" w:sz="1"/>
              <w:right w:val="single" w:color="D0D5E0" w:sz="1"/>
            </w:tcBorders>
            <w:shd w:fill="FFF5F5" w:val="clear"/>
            <w:tcMar>
              <w:top w:type="dxa" w:w="100"/>
              <w:left w:type="dxa" w:w="160"/>
              <w:bottom w:type="dxa" w:w="100"/>
              <w:right w:type="dxa" w:w="160"/>
            </w:tcMar>
          </w:tcPr>
          <w:p>
            <w:r>
              <w:rPr>
                <w:rFonts w:ascii="Arial" w:cs="Arial" w:eastAsia="Arial" w:hAnsi="Arial"/>
                <w:b w:val="false"/>
                <w:bCs w:val="false"/>
                <w:color w:val="2C3E5A"/>
                <w:sz w:val="20"/>
                <w:szCs w:val="20"/>
              </w:rPr>
              <w:t xml:space="preserve">No bonus</w:t>
            </w:r>
          </w:p>
        </w:tc>
        <w:tc>
          <w:tcPr>
            <w:tcW w:type="dxa" w:w="4320"/>
            <w:tcBorders>
              <w:top w:val="single" w:color="D0D5E0" w:sz="1"/>
              <w:left w:val="single" w:color="D0D5E0" w:sz="1"/>
              <w:bottom w:val="single" w:color="D0D5E0" w:sz="1"/>
              <w:right w:val="single" w:color="D0D5E0" w:sz="1"/>
            </w:tcBorders>
            <w:shd w:fill="FFF5F5" w:val="clear"/>
            <w:tcMar>
              <w:top w:type="dxa" w:w="100"/>
              <w:left w:type="dxa" w:w="160"/>
              <w:bottom w:type="dxa" w:w="100"/>
              <w:right w:type="dxa" w:w="160"/>
            </w:tcMar>
          </w:tcPr>
          <w:p>
            <w:r>
              <w:rPr>
                <w:rFonts w:ascii="Arial" w:cs="Arial" w:eastAsia="Arial" w:hAnsi="Arial"/>
                <w:b w:val="false"/>
                <w:bCs w:val="false"/>
                <w:color w:val="2C3E5A"/>
                <w:sz w:val="20"/>
                <w:szCs w:val="20"/>
              </w:rPr>
              <w:t xml:space="preserve">PIP review triggered</w:t>
            </w:r>
          </w:p>
        </w:tc>
      </w:tr>
    </w:tbl>
    <w:p>
      <w:pPr>
        <w:spacing w:after="80" w:before="0"/>
      </w:pPr>
    </w:p>
    <w:p>
      <w:pPr>
        <w:pStyle w:val="Heading2"/>
        <w:spacing w:after="100" w:before="280"/>
      </w:pPr>
      <w:r>
        <w:rPr>
          <w:rFonts w:ascii="Arial" w:cs="Arial" w:eastAsia="Arial" w:hAnsi="Arial"/>
          <w:b/>
          <w:bCs/>
          <w:color w:val="0B1426"/>
          <w:sz w:val="26"/>
          <w:szCs w:val="26"/>
        </w:rPr>
        <w:t xml:space="preserve">Columns in the Tiers sheet</w:t>
      </w:r>
    </w:p>
    <w:p>
      <w:pPr>
        <w:pStyle w:val="ListParagraph"/>
        <w:numPr>
          <w:ilvl w:val="0"/>
          <w:numId w:val="2"/>
        </w:numPr>
        <w:spacing w:after="40" w:before="40"/>
      </w:pPr>
      <w:r>
        <w:rPr>
          <w:rFonts w:ascii="Arial" w:cs="Arial" w:eastAsia="Arial" w:hAnsi="Arial"/>
          <w:color w:val="2C3E5A"/>
          <w:sz w:val="22"/>
          <w:szCs w:val="22"/>
        </w:rPr>
        <w:t xml:space="preserve">Tier Name — the display label used throughout the dashboard (Gold, Silver, etc.)</w:t>
      </w:r>
    </w:p>
    <w:p>
      <w:pPr>
        <w:pStyle w:val="ListParagraph"/>
        <w:numPr>
          <w:ilvl w:val="0"/>
          <w:numId w:val="2"/>
        </w:numPr>
        <w:spacing w:after="40" w:before="40"/>
      </w:pPr>
      <w:r>
        <w:rPr>
          <w:rFonts w:ascii="Arial" w:cs="Arial" w:eastAsia="Arial" w:hAnsi="Arial"/>
          <w:color w:val="2C3E5A"/>
          <w:sz w:val="22"/>
          <w:szCs w:val="22"/>
        </w:rPr>
        <w:t xml:space="preserve">Min Attainment % — the minimum attainment a rep must reach to qualify for this tier</w:t>
      </w:r>
    </w:p>
    <w:p>
      <w:pPr>
        <w:pStyle w:val="ListParagraph"/>
        <w:numPr>
          <w:ilvl w:val="0"/>
          <w:numId w:val="2"/>
        </w:numPr>
        <w:spacing w:after="40" w:before="40"/>
      </w:pPr>
      <w:r>
        <w:rPr>
          <w:rFonts w:ascii="Arial" w:cs="Arial" w:eastAsia="Arial" w:hAnsi="Arial"/>
          <w:color w:val="2C3E5A"/>
          <w:sz w:val="22"/>
          <w:szCs w:val="22"/>
        </w:rPr>
        <w:t xml:space="preserve">Max Attainment % — the maximum attainment for this tier (use 999 for open-ended top tier)</w:t>
      </w:r>
    </w:p>
    <w:p>
      <w:pPr>
        <w:pStyle w:val="ListParagraph"/>
        <w:numPr>
          <w:ilvl w:val="0"/>
          <w:numId w:val="2"/>
        </w:numPr>
        <w:spacing w:after="40" w:before="40"/>
      </w:pPr>
      <w:r>
        <w:rPr>
          <w:rFonts w:ascii="Arial" w:cs="Arial" w:eastAsia="Arial" w:hAnsi="Arial"/>
          <w:color w:val="2C3E5A"/>
          <w:sz w:val="22"/>
          <w:szCs w:val="22"/>
        </w:rPr>
        <w:t xml:space="preserve">Bonus % of Base — the percentage of annual base salary paid as bonus</w:t>
      </w:r>
    </w:p>
    <w:p>
      <w:pPr>
        <w:pStyle w:val="ListParagraph"/>
        <w:numPr>
          <w:ilvl w:val="0"/>
          <w:numId w:val="2"/>
        </w:numPr>
        <w:spacing w:after="40" w:before="40"/>
      </w:pPr>
      <w:r>
        <w:rPr>
          <w:rFonts w:ascii="Arial" w:cs="Arial" w:eastAsia="Arial" w:hAnsi="Arial"/>
          <w:color w:val="2C3E5A"/>
          <w:sz w:val="22"/>
          <w:szCs w:val="22"/>
        </w:rPr>
        <w:t xml:space="preserve">Accelerator Multiplier — applied on top of the bonus percentage (1.0 = no change, 1.5 = 50% uplift)</w:t>
      </w:r>
    </w:p>
    <w:p>
      <w:pPr>
        <w:pStyle w:val="ListParagraph"/>
        <w:numPr>
          <w:ilvl w:val="0"/>
          <w:numId w:val="2"/>
        </w:numPr>
        <w:spacing w:after="40" w:before="40"/>
      </w:pPr>
      <w:r>
        <w:rPr>
          <w:rFonts w:ascii="Arial" w:cs="Arial" w:eastAsia="Arial" w:hAnsi="Arial"/>
          <w:color w:val="2C3E5A"/>
          <w:sz w:val="22"/>
          <w:szCs w:val="22"/>
        </w:rPr>
        <w:t xml:space="preserve">Tier Color (hex) — the hex color code used to display this tier throughout the dashboard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0" w:sz="1"/>
              <w:left w:val="single" w:color="D0D5E0" w:sz="1"/>
              <w:bottom w:val="single" w:color="D0D5E0" w:sz="1"/>
              <w:right w:val="single" w:color="D0D5E0" w:sz="1"/>
            </w:tcBorders>
            <w:shd w:fill="FFF8E8" w:val="clear"/>
            <w:tcMar>
              <w:top w:type="dxa" w:w="100"/>
              <w:left w:type="dxa" w:w="160"/>
              <w:bottom w:type="dxa" w:w="100"/>
              <w:right w:type="dxa" w:w="160"/>
            </w:tcMar>
          </w:tcPr>
          <w:p>
            <w:r>
              <w:rPr>
                <w:rFonts w:ascii="Arial" w:cs="Arial" w:eastAsia="Arial" w:hAnsi="Arial"/>
                <w:b/>
                <w:bCs/>
                <w:color w:val="C9A84C"/>
                <w:sz w:val="20"/>
                <w:szCs w:val="20"/>
              </w:rPr>
              <w:t xml:space="preserve">ℹ  </w:t>
            </w:r>
            <w:r>
              <w:rPr>
                <w:rFonts w:ascii="Arial" w:cs="Arial" w:eastAsia="Arial" w:hAnsi="Arial"/>
                <w:color w:val="5A4200"/>
                <w:sz w:val="20"/>
                <w:szCs w:val="20"/>
              </w:rPr>
              <w:t xml:space="preserve">If the Tiers sheet is missing or empty, the dashboard falls back to the default structure shown above. It is strongly recommended to keep the Tiers sheet populated.</w:t>
            </w:r>
          </w:p>
        </w:tc>
      </w:tr>
    </w:tbl>
    <w:p>
      <w:pPr>
        <w:spacing w:after="80" w:before="0"/>
      </w:pPr>
    </w:p>
    <w:p>
      <w:r>
        <w:br w:type="page"/>
      </w:r>
    </w:p>
    <w:p>
      <w:pPr>
        <w:pStyle w:val="Heading1"/>
        <w:pBdr>
          <w:bottom w:val="single" w:color="C9A84C" w:sz="6" w:space="6"/>
        </w:pBdr>
        <w:spacing w:after="160" w:before="360"/>
      </w:pPr>
      <w:r>
        <w:rPr>
          <w:rFonts w:ascii="Arial" w:cs="Arial" w:eastAsia="Arial" w:hAnsi="Arial"/>
          <w:b/>
          <w:bCs/>
          <w:color w:val="0B1426"/>
          <w:sz w:val="32"/>
          <w:szCs w:val="32"/>
        </w:rPr>
        <w:t xml:space="preserve">5. Goals Sheet — Period Targets</w:t>
      </w:r>
    </w:p>
    <w:p>
      <w:pPr>
        <w:spacing w:after="80" w:before="60"/>
      </w:pPr>
      <w:r>
        <w:rPr>
          <w:rFonts w:ascii="Arial" w:cs="Arial" w:eastAsia="Arial" w:hAnsi="Arial"/>
          <w:color w:val="2C3E5A"/>
          <w:sz w:val="22"/>
          <w:szCs w:val="22"/>
        </w:rPr>
        <w:t xml:space="preserve">The Goals sheet stores company-level targets for each period. While the dashboard primarily uses the Reps sheet for individual calculations, the Goals sheet provides context for company-wide targets displayed in the KPI summary.</w:t>
      </w:r>
    </w:p>
    <w:p>
      <w:pPr>
        <w:spacing w:after="80" w:before="0"/>
      </w:pPr>
    </w:p>
    <w:p>
      <w:pPr>
        <w:pStyle w:val="Heading2"/>
        <w:spacing w:after="100" w:before="280"/>
      </w:pPr>
      <w:r>
        <w:rPr>
          <w:rFonts w:ascii="Arial" w:cs="Arial" w:eastAsia="Arial" w:hAnsi="Arial"/>
          <w:b/>
          <w:bCs/>
          <w:color w:val="0B1426"/>
          <w:sz w:val="26"/>
          <w:szCs w:val="26"/>
        </w:rPr>
        <w:t xml:space="preserve">Columns in the Goals sheet</w:t>
      </w:r>
    </w:p>
    <w:p>
      <w:pPr>
        <w:pStyle w:val="ListParagraph"/>
        <w:numPr>
          <w:ilvl w:val="0"/>
          <w:numId w:val="2"/>
        </w:numPr>
        <w:spacing w:after="40" w:before="40"/>
      </w:pPr>
      <w:r>
        <w:rPr>
          <w:rFonts w:ascii="Arial" w:cs="Arial" w:eastAsia="Arial" w:hAnsi="Arial"/>
          <w:color w:val="2C3E5A"/>
          <w:sz w:val="22"/>
          <w:szCs w:val="22"/>
        </w:rPr>
        <w:t xml:space="preserve">Period Type — enter monthly, quarterly, or yearly (lowercase)</w:t>
      </w:r>
    </w:p>
    <w:p>
      <w:pPr>
        <w:pStyle w:val="ListParagraph"/>
        <w:numPr>
          <w:ilvl w:val="0"/>
          <w:numId w:val="2"/>
        </w:numPr>
        <w:spacing w:after="40" w:before="40"/>
      </w:pPr>
      <w:r>
        <w:rPr>
          <w:rFonts w:ascii="Arial" w:cs="Arial" w:eastAsia="Arial" w:hAnsi="Arial"/>
          <w:color w:val="2C3E5A"/>
          <w:sz w:val="22"/>
          <w:szCs w:val="22"/>
        </w:rPr>
        <w:t xml:space="preserve">Period Label — a readable label such as June 2025, Q2 2025, or FY 2025</w:t>
      </w:r>
    </w:p>
    <w:p>
      <w:pPr>
        <w:pStyle w:val="ListParagraph"/>
        <w:numPr>
          <w:ilvl w:val="0"/>
          <w:numId w:val="2"/>
        </w:numPr>
        <w:spacing w:after="40" w:before="40"/>
      </w:pPr>
      <w:r>
        <w:rPr>
          <w:rFonts w:ascii="Arial" w:cs="Arial" w:eastAsia="Arial" w:hAnsi="Arial"/>
          <w:color w:val="2C3E5A"/>
          <w:sz w:val="22"/>
          <w:szCs w:val="22"/>
        </w:rPr>
        <w:t xml:space="preserve">Company Revenue Goal ($) — total revenue target for the period</w:t>
      </w:r>
    </w:p>
    <w:p>
      <w:pPr>
        <w:pStyle w:val="ListParagraph"/>
        <w:numPr>
          <w:ilvl w:val="0"/>
          <w:numId w:val="2"/>
        </w:numPr>
        <w:spacing w:after="40" w:before="40"/>
      </w:pPr>
      <w:r>
        <w:rPr>
          <w:rFonts w:ascii="Arial" w:cs="Arial" w:eastAsia="Arial" w:hAnsi="Arial"/>
          <w:color w:val="2C3E5A"/>
          <w:sz w:val="22"/>
          <w:szCs w:val="22"/>
        </w:rPr>
        <w:t xml:space="preserve">Headcount Target — planned headcount for the period</w:t>
      </w:r>
    </w:p>
    <w:p>
      <w:pPr>
        <w:pStyle w:val="ListParagraph"/>
        <w:numPr>
          <w:ilvl w:val="0"/>
          <w:numId w:val="2"/>
        </w:numPr>
        <w:spacing w:after="40" w:before="40"/>
      </w:pPr>
      <w:r>
        <w:rPr>
          <w:rFonts w:ascii="Arial" w:cs="Arial" w:eastAsia="Arial" w:hAnsi="Arial"/>
          <w:color w:val="2C3E5A"/>
          <w:sz w:val="22"/>
          <w:szCs w:val="22"/>
        </w:rPr>
        <w:t xml:space="preserve">Gold Tier Target (# reps) — how many reps you are targeting for gold tier achievement</w:t>
      </w:r>
    </w:p>
    <w:p>
      <w:pPr>
        <w:pStyle w:val="ListParagraph"/>
        <w:numPr>
          <w:ilvl w:val="0"/>
          <w:numId w:val="2"/>
        </w:numPr>
        <w:spacing w:after="40" w:before="40"/>
      </w:pPr>
      <w:r>
        <w:rPr>
          <w:rFonts w:ascii="Arial" w:cs="Arial" w:eastAsia="Arial" w:hAnsi="Arial"/>
          <w:color w:val="2C3E5A"/>
          <w:sz w:val="22"/>
          <w:szCs w:val="22"/>
        </w:rPr>
        <w:t xml:space="preserve">Notes — optional free text</w:t>
      </w:r>
    </w:p>
    <w:p>
      <w:pPr>
        <w:spacing w:after="80" w:before="0"/>
      </w:pPr>
    </w:p>
    <w:p>
      <w:pPr>
        <w:pStyle w:val="Heading1"/>
        <w:pBdr>
          <w:bottom w:val="single" w:color="C9A84C" w:sz="6" w:space="6"/>
        </w:pBdr>
        <w:spacing w:after="160" w:before="360"/>
      </w:pPr>
      <w:r>
        <w:rPr>
          <w:rFonts w:ascii="Arial" w:cs="Arial" w:eastAsia="Arial" w:hAnsi="Arial"/>
          <w:b/>
          <w:bCs/>
          <w:color w:val="0B1426"/>
          <w:sz w:val="32"/>
          <w:szCs w:val="32"/>
        </w:rPr>
        <w:t xml:space="preserve">6. Dashboard Navigation</w:t>
      </w:r>
    </w:p>
    <w:p>
      <w:pPr>
        <w:pStyle w:val="Heading2"/>
        <w:spacing w:after="100" w:before="280"/>
      </w:pPr>
      <w:r>
        <w:rPr>
          <w:rFonts w:ascii="Arial" w:cs="Arial" w:eastAsia="Arial" w:hAnsi="Arial"/>
          <w:b/>
          <w:bCs/>
          <w:color w:val="0B1426"/>
          <w:sz w:val="26"/>
          <w:szCs w:val="26"/>
        </w:rPr>
        <w:t xml:space="preserve">Period toggle</w:t>
      </w:r>
    </w:p>
    <w:p>
      <w:pPr>
        <w:spacing w:after="80" w:before="60"/>
      </w:pPr>
      <w:r>
        <w:rPr>
          <w:rFonts w:ascii="Arial" w:cs="Arial" w:eastAsia="Arial" w:hAnsi="Arial"/>
          <w:color w:val="2C3E5A"/>
          <w:sz w:val="22"/>
          <w:szCs w:val="22"/>
        </w:rPr>
        <w:t xml:space="preserve">The Monthly / Quarterly / Yearly buttons at the top right control which quota and actual columns are used for all calculations. Switching period re-computes every number on the page — no re-upload is needed.</w:t>
      </w:r>
    </w:p>
    <w:p>
      <w:pPr>
        <w:spacing w:after="80" w:before="0"/>
      </w:pPr>
    </w:p>
    <w:p>
      <w:pPr>
        <w:pStyle w:val="Heading2"/>
        <w:spacing w:after="100" w:before="280"/>
      </w:pPr>
      <w:r>
        <w:rPr>
          <w:rFonts w:ascii="Arial" w:cs="Arial" w:eastAsia="Arial" w:hAnsi="Arial"/>
          <w:b/>
          <w:bCs/>
          <w:color w:val="0B1426"/>
          <w:sz w:val="26"/>
          <w:szCs w:val="26"/>
        </w:rPr>
        <w:t xml:space="preserve">Tabs</w:t>
      </w:r>
    </w:p>
    <w:p>
      <w:pPr>
        <w:pStyle w:val="ListParagraph"/>
        <w:numPr>
          <w:ilvl w:val="0"/>
          <w:numId w:val="2"/>
        </w:numPr>
        <w:spacing w:after="40" w:before="40"/>
      </w:pPr>
      <w:r>
        <w:rPr>
          <w:rFonts w:ascii="Arial" w:cs="Arial" w:eastAsia="Arial" w:hAnsi="Arial"/>
          <w:color w:val="2C3E5A"/>
          <w:sz w:val="22"/>
          <w:szCs w:val="22"/>
        </w:rPr>
        <w:t xml:space="preserve">Executive Overview — company KPIs, department attainment bar chart, tier distribution, and bonus accrual breakdown</w:t>
      </w:r>
    </w:p>
    <w:p>
      <w:pPr>
        <w:pStyle w:val="ListParagraph"/>
        <w:numPr>
          <w:ilvl w:val="0"/>
          <w:numId w:val="2"/>
        </w:numPr>
        <w:spacing w:after="40" w:before="40"/>
      </w:pPr>
      <w:r>
        <w:rPr>
          <w:rFonts w:ascii="Arial" w:cs="Arial" w:eastAsia="Arial" w:hAnsi="Arial"/>
          <w:color w:val="2C3E5A"/>
          <w:sz w:val="22"/>
          <w:szCs w:val="22"/>
        </w:rPr>
        <w:t xml:space="preserve">Departments — ranked department list; click any department to drill into its teams</w:t>
      </w:r>
    </w:p>
    <w:p>
      <w:pPr>
        <w:pStyle w:val="ListParagraph"/>
        <w:numPr>
          <w:ilvl w:val="0"/>
          <w:numId w:val="2"/>
        </w:numPr>
        <w:spacing w:after="40" w:before="40"/>
      </w:pPr>
      <w:r>
        <w:rPr>
          <w:rFonts w:ascii="Arial" w:cs="Arial" w:eastAsia="Arial" w:hAnsi="Arial"/>
          <w:color w:val="2C3E5A"/>
          <w:sz w:val="22"/>
          <w:szCs w:val="22"/>
        </w:rPr>
        <w:t xml:space="preserve">Teams — card view of all teams across all departments</w:t>
      </w:r>
    </w:p>
    <w:p>
      <w:pPr>
        <w:pStyle w:val="ListParagraph"/>
        <w:numPr>
          <w:ilvl w:val="0"/>
          <w:numId w:val="2"/>
        </w:numPr>
        <w:spacing w:after="40" w:before="40"/>
      </w:pPr>
      <w:r>
        <w:rPr>
          <w:rFonts w:ascii="Arial" w:cs="Arial" w:eastAsia="Arial" w:hAnsi="Arial"/>
          <w:color w:val="2C3E5A"/>
          <w:sz w:val="22"/>
          <w:szCs w:val="22"/>
        </w:rPr>
        <w:t xml:space="preserve">Individuals — full rep list with department filter; sorted by attainment</w:t>
      </w:r>
    </w:p>
    <w:p>
      <w:pPr>
        <w:pStyle w:val="ListParagraph"/>
        <w:numPr>
          <w:ilvl w:val="0"/>
          <w:numId w:val="2"/>
        </w:numPr>
        <w:spacing w:after="40" w:before="40"/>
      </w:pPr>
      <w:r>
        <w:rPr>
          <w:rFonts w:ascii="Arial" w:cs="Arial" w:eastAsia="Arial" w:hAnsi="Arial"/>
          <w:color w:val="2C3E5A"/>
          <w:sz w:val="22"/>
          <w:szCs w:val="22"/>
        </w:rPr>
        <w:t xml:space="preserve">Tier Structure — shows the loaded tier configuration and a sample bonus calculation</w:t>
      </w:r>
    </w:p>
    <w:p>
      <w:pPr>
        <w:spacing w:after="80" w:before="0"/>
      </w:pPr>
    </w:p>
    <w:p>
      <w:pPr>
        <w:pStyle w:val="Heading2"/>
        <w:spacing w:after="100" w:before="280"/>
      </w:pPr>
      <w:r>
        <w:rPr>
          <w:rFonts w:ascii="Arial" w:cs="Arial" w:eastAsia="Arial" w:hAnsi="Arial"/>
          <w:b/>
          <w:bCs/>
          <w:color w:val="0B1426"/>
          <w:sz w:val="26"/>
          <w:szCs w:val="26"/>
        </w:rPr>
        <w:t xml:space="preserve">Drill-down flow</w:t>
      </w:r>
    </w:p>
    <w:p>
      <w:pPr>
        <w:spacing w:after="80" w:before="60"/>
      </w:pPr>
      <w:r>
        <w:rPr>
          <w:rFonts w:ascii="Arial" w:cs="Arial" w:eastAsia="Arial" w:hAnsi="Arial"/>
          <w:color w:val="2C3E5A"/>
          <w:sz w:val="22"/>
          <w:szCs w:val="22"/>
        </w:rPr>
        <w:t xml:space="preserve">The Departments tab supports a three-level drill-down:</w:t>
      </w:r>
    </w:p>
    <w:p>
      <w:pPr>
        <w:pStyle w:val="ListParagraph"/>
        <w:numPr>
          <w:ilvl w:val="0"/>
          <w:numId w:val="3"/>
        </w:numPr>
        <w:spacing w:after="40" w:before="40"/>
      </w:pPr>
      <w:r>
        <w:rPr>
          <w:rFonts w:ascii="Arial" w:cs="Arial" w:eastAsia="Arial" w:hAnsi="Arial"/>
          <w:color w:val="2C3E5A"/>
          <w:sz w:val="22"/>
          <w:szCs w:val="22"/>
        </w:rPr>
        <w:t xml:space="preserve">Click a department row to see its teams.</w:t>
      </w:r>
    </w:p>
    <w:p>
      <w:pPr>
        <w:pStyle w:val="ListParagraph"/>
        <w:numPr>
          <w:ilvl w:val="0"/>
          <w:numId w:val="3"/>
        </w:numPr>
        <w:spacing w:after="40" w:before="40"/>
      </w:pPr>
      <w:r>
        <w:rPr>
          <w:rFonts w:ascii="Arial" w:cs="Arial" w:eastAsia="Arial" w:hAnsi="Arial"/>
          <w:color w:val="2C3E5A"/>
          <w:sz w:val="22"/>
          <w:szCs w:val="22"/>
        </w:rPr>
        <w:t xml:space="preserve">Click a team row to see individual rep performance.</w:t>
      </w:r>
    </w:p>
    <w:p>
      <w:pPr>
        <w:pStyle w:val="ListParagraph"/>
        <w:numPr>
          <w:ilvl w:val="0"/>
          <w:numId w:val="3"/>
        </w:numPr>
        <w:spacing w:after="40" w:before="40"/>
      </w:pPr>
      <w:r>
        <w:rPr>
          <w:rFonts w:ascii="Arial" w:cs="Arial" w:eastAsia="Arial" w:hAnsi="Arial"/>
          <w:color w:val="2C3E5A"/>
          <w:sz w:val="22"/>
          <w:szCs w:val="22"/>
        </w:rPr>
        <w:t xml:space="preserve">Use the back arrow or breadcrumb at the top to navigate back up.</w:t>
      </w:r>
    </w:p>
    <w:p>
      <w:pPr>
        <w:spacing w:after="80" w:before="0"/>
      </w:pPr>
    </w:p>
    <w:p>
      <w:r>
        <w:br w:type="page"/>
      </w:r>
    </w:p>
    <w:p>
      <w:pPr>
        <w:pStyle w:val="Heading1"/>
        <w:pBdr>
          <w:bottom w:val="single" w:color="C9A84C" w:sz="6" w:space="6"/>
        </w:pBdr>
        <w:spacing w:after="160" w:before="360"/>
      </w:pPr>
      <w:r>
        <w:rPr>
          <w:rFonts w:ascii="Arial" w:cs="Arial" w:eastAsia="Arial" w:hAnsi="Arial"/>
          <w:b/>
          <w:bCs/>
          <w:color w:val="0B1426"/>
          <w:sz w:val="32"/>
          <w:szCs w:val="32"/>
        </w:rPr>
        <w:t xml:space="preserve">7. Roles &amp; Permissions</w:t>
      </w:r>
    </w:p>
    <w:p>
      <w:pPr>
        <w:spacing w:after="80" w:before="60"/>
      </w:pPr>
      <w:r>
        <w:rPr>
          <w:rFonts w:ascii="Arial" w:cs="Arial" w:eastAsia="Arial" w:hAnsi="Arial"/>
          <w:color w:val="2C3E5A"/>
          <w:sz w:val="22"/>
          <w:szCs w:val="22"/>
        </w:rPr>
        <w:t xml:space="preserve">This system is designed for two audiences. Both use the same dashboard file — access is controlled by who you share the Excel file with.</w:t>
      </w:r>
    </w:p>
    <w:p>
      <w:pPr>
        <w:spacing w:after="80" w:before="0"/>
      </w:pPr>
    </w:p>
    <w:p>
      <w:pPr>
        <w:pStyle w:val="Heading2"/>
        <w:spacing w:after="100" w:before="280"/>
      </w:pPr>
      <w:r>
        <w:rPr>
          <w:rFonts w:ascii="Arial" w:cs="Arial" w:eastAsia="Arial" w:hAnsi="Arial"/>
          <w:b/>
          <w:bCs/>
          <w:color w:val="0B1426"/>
          <w:sz w:val="26"/>
          <w:szCs w:val="26"/>
        </w:rPr>
        <w:t xml:space="preserve">VP of Sales</w:t>
      </w:r>
    </w:p>
    <w:p>
      <w:pPr>
        <w:pStyle w:val="ListParagraph"/>
        <w:numPr>
          <w:ilvl w:val="0"/>
          <w:numId w:val="2"/>
        </w:numPr>
        <w:spacing w:after="40" w:before="40"/>
      </w:pPr>
      <w:r>
        <w:rPr>
          <w:rFonts w:ascii="Arial" w:cs="Arial" w:eastAsia="Arial" w:hAnsi="Arial"/>
          <w:color w:val="2C3E5A"/>
          <w:sz w:val="22"/>
          <w:szCs w:val="22"/>
        </w:rPr>
        <w:t xml:space="preserve">Full visibility across all departments, teams, and individuals</w:t>
      </w:r>
    </w:p>
    <w:p>
      <w:pPr>
        <w:pStyle w:val="ListParagraph"/>
        <w:numPr>
          <w:ilvl w:val="0"/>
          <w:numId w:val="2"/>
        </w:numPr>
        <w:spacing w:after="40" w:before="40"/>
      </w:pPr>
      <w:r>
        <w:rPr>
          <w:rFonts w:ascii="Arial" w:cs="Arial" w:eastAsia="Arial" w:hAnsi="Arial"/>
          <w:color w:val="2C3E5A"/>
          <w:sz w:val="22"/>
          <w:szCs w:val="22"/>
        </w:rPr>
        <w:t xml:space="preserve">Can modify the Tiers sheet to adjust bonus structures before re-distributing the file</w:t>
      </w:r>
    </w:p>
    <w:p>
      <w:pPr>
        <w:pStyle w:val="ListParagraph"/>
        <w:numPr>
          <w:ilvl w:val="0"/>
          <w:numId w:val="2"/>
        </w:numPr>
        <w:spacing w:after="40" w:before="40"/>
      </w:pPr>
      <w:r>
        <w:rPr>
          <w:rFonts w:ascii="Arial" w:cs="Arial" w:eastAsia="Arial" w:hAnsi="Arial"/>
          <w:color w:val="2C3E5A"/>
          <w:sz w:val="22"/>
          <w:szCs w:val="22"/>
        </w:rPr>
        <w:t xml:space="preserve">Responsible for maintaining the master Excel template and distributing the dashboard HTML to team leads</w:t>
      </w:r>
    </w:p>
    <w:p>
      <w:pPr>
        <w:spacing w:after="80" w:before="0"/>
      </w:pPr>
    </w:p>
    <w:p>
      <w:pPr>
        <w:pStyle w:val="Heading2"/>
        <w:spacing w:after="100" w:before="280"/>
      </w:pPr>
      <w:r>
        <w:rPr>
          <w:rFonts w:ascii="Arial" w:cs="Arial" w:eastAsia="Arial" w:hAnsi="Arial"/>
          <w:b/>
          <w:bCs/>
          <w:color w:val="0B1426"/>
          <w:sz w:val="26"/>
          <w:szCs w:val="26"/>
        </w:rPr>
        <w:t xml:space="preserve">Department team leads</w:t>
      </w:r>
    </w:p>
    <w:p>
      <w:pPr>
        <w:pStyle w:val="ListParagraph"/>
        <w:numPr>
          <w:ilvl w:val="0"/>
          <w:numId w:val="2"/>
        </w:numPr>
        <w:spacing w:after="40" w:before="40"/>
      </w:pPr>
      <w:r>
        <w:rPr>
          <w:rFonts w:ascii="Arial" w:cs="Arial" w:eastAsia="Arial" w:hAnsi="Arial"/>
          <w:color w:val="2C3E5A"/>
          <w:sz w:val="22"/>
          <w:szCs w:val="22"/>
        </w:rPr>
        <w:t xml:space="preserve">Upload the same Excel file to see the same dashboard</w:t>
      </w:r>
    </w:p>
    <w:p>
      <w:pPr>
        <w:pStyle w:val="ListParagraph"/>
        <w:numPr>
          <w:ilvl w:val="0"/>
          <w:numId w:val="2"/>
        </w:numPr>
        <w:spacing w:after="40" w:before="40"/>
      </w:pPr>
      <w:r>
        <w:rPr>
          <w:rFonts w:ascii="Arial" w:cs="Arial" w:eastAsia="Arial" w:hAnsi="Arial"/>
          <w:color w:val="2C3E5A"/>
          <w:sz w:val="22"/>
          <w:szCs w:val="22"/>
        </w:rPr>
        <w:t xml:space="preserve">Can filter the Individuals tab to their department for focused review</w:t>
      </w:r>
    </w:p>
    <w:p>
      <w:pPr>
        <w:pStyle w:val="ListParagraph"/>
        <w:numPr>
          <w:ilvl w:val="0"/>
          <w:numId w:val="2"/>
        </w:numPr>
        <w:spacing w:after="40" w:before="40"/>
      </w:pPr>
      <w:r>
        <w:rPr>
          <w:rFonts w:ascii="Arial" w:cs="Arial" w:eastAsia="Arial" w:hAnsi="Arial"/>
          <w:color w:val="2C3E5A"/>
          <w:sz w:val="22"/>
          <w:szCs w:val="22"/>
        </w:rPr>
        <w:t xml:space="preserve">Should not modify the Tiers or Goals sheets without VP approval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0" w:sz="1"/>
              <w:left w:val="single" w:color="D0D5E0" w:sz="1"/>
              <w:bottom w:val="single" w:color="D0D5E0" w:sz="1"/>
              <w:right w:val="single" w:color="D0D5E0" w:sz="1"/>
            </w:tcBorders>
            <w:shd w:fill="FFF8E8" w:val="clear"/>
            <w:tcMar>
              <w:top w:type="dxa" w:w="100"/>
              <w:left w:type="dxa" w:w="160"/>
              <w:bottom w:type="dxa" w:w="100"/>
              <w:right w:type="dxa" w:w="160"/>
            </w:tcMar>
          </w:tcPr>
          <w:p>
            <w:r>
              <w:rPr>
                <w:rFonts w:ascii="Arial" w:cs="Arial" w:eastAsia="Arial" w:hAnsi="Arial"/>
                <w:b/>
                <w:bCs/>
                <w:color w:val="C9A84C"/>
                <w:sz w:val="20"/>
                <w:szCs w:val="20"/>
              </w:rPr>
              <w:t xml:space="preserve">ℹ  </w:t>
            </w:r>
            <w:r>
              <w:rPr>
                <w:rFonts w:ascii="Arial" w:cs="Arial" w:eastAsia="Arial" w:hAnsi="Arial"/>
                <w:color w:val="5A4200"/>
                <w:sz w:val="20"/>
                <w:szCs w:val="20"/>
              </w:rPr>
              <w:t xml:space="preserve">There is no login or role-based access control in this file-based system. If you need to restrict what a team lead can see, provide them with a filtered copy of the Excel file containing only their department rows.</w:t>
            </w:r>
          </w:p>
        </w:tc>
      </w:tr>
    </w:tbl>
    <w:p>
      <w:pPr>
        <w:spacing w:after="80" w:before="0"/>
      </w:pPr>
    </w:p>
    <w:p>
      <w:r>
        <w:br w:type="page"/>
      </w:r>
    </w:p>
    <w:p>
      <w:pPr>
        <w:pStyle w:val="Heading1"/>
        <w:pBdr>
          <w:bottom w:val="single" w:color="C9A84C" w:sz="6" w:space="6"/>
        </w:pBdr>
        <w:spacing w:after="160" w:before="360"/>
      </w:pPr>
      <w:r>
        <w:rPr>
          <w:rFonts w:ascii="Arial" w:cs="Arial" w:eastAsia="Arial" w:hAnsi="Arial"/>
          <w:b/>
          <w:bCs/>
          <w:color w:val="0B1426"/>
          <w:sz w:val="32"/>
          <w:szCs w:val="32"/>
        </w:rPr>
        <w:t xml:space="preserve">8. Troubleshooting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5E0" w:sz="1"/>
              <w:left w:val="single" w:color="D0D5E0" w:sz="1"/>
              <w:bottom w:val="single" w:color="D0D5E0" w:sz="1"/>
              <w:right w:val="single" w:color="D0D5E0" w:sz="1"/>
            </w:tcBorders>
            <w:shd w:fill="0B1426" w:val="clear"/>
            <w:tcMar>
              <w:top w:type="dxa" w:w="100"/>
              <w:left w:type="dxa" w:w="160"/>
              <w:bottom w:type="dxa" w:w="100"/>
              <w:right w:type="dxa" w:w="160"/>
            </w:tcMar>
          </w:tcPr>
          <w:p>
            <w:r>
              <w:rPr>
                <w:rFonts w:ascii="Arial" w:cs="Arial" w:eastAsia="Arial" w:hAnsi="Arial"/>
                <w:b/>
                <w:bCs/>
                <w:color w:val="FFFFFF"/>
                <w:sz w:val="20"/>
                <w:szCs w:val="20"/>
              </w:rPr>
              <w:t xml:space="preserve">Issue</w:t>
            </w:r>
          </w:p>
        </w:tc>
        <w:tc>
          <w:tcPr>
            <w:tcW w:type="dxa" w:w="5760"/>
            <w:tcBorders>
              <w:top w:val="single" w:color="D0D5E0" w:sz="1"/>
              <w:left w:val="single" w:color="D0D5E0" w:sz="1"/>
              <w:bottom w:val="single" w:color="D0D5E0" w:sz="1"/>
              <w:right w:val="single" w:color="D0D5E0" w:sz="1"/>
            </w:tcBorders>
            <w:shd w:fill="0B1426" w:val="clear"/>
            <w:tcMar>
              <w:top w:type="dxa" w:w="100"/>
              <w:left w:type="dxa" w:w="160"/>
              <w:bottom w:type="dxa" w:w="100"/>
              <w:right w:type="dxa" w:w="160"/>
            </w:tcMar>
          </w:tcPr>
          <w:p>
            <w:r>
              <w:rPr>
                <w:rFonts w:ascii="Arial" w:cs="Arial" w:eastAsia="Arial" w:hAnsi="Arial"/>
                <w:b/>
                <w:bCs/>
                <w:color w:val="FFFFFF"/>
                <w:sz w:val="20"/>
                <w:szCs w:val="20"/>
              </w:rPr>
              <w:t xml:space="preserve">Solution</w:t>
            </w:r>
          </w:p>
        </w:tc>
      </w:tr>
      <w:tr>
        <w:tc>
          <w:tcPr>
            <w:tcW w:type="dxa" w:w="360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color w:val="2C3E5A"/>
                <w:sz w:val="20"/>
                <w:szCs w:val="20"/>
              </w:rPr>
              <w:t xml:space="preserve">Dashboard shows no data after upload</w:t>
            </w:r>
          </w:p>
        </w:tc>
        <w:tc>
          <w:tcPr>
            <w:tcW w:type="dxa" w:w="57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color w:val="2C3E5A"/>
                <w:sz w:val="20"/>
                <w:szCs w:val="20"/>
              </w:rPr>
              <w:t xml:space="preserve">Check that your file has sheets named exactly Reps, Tiers, and Goals (case-sensitive).</w:t>
            </w:r>
          </w:p>
        </w:tc>
      </w:tr>
      <w:tr>
        <w:tc>
          <w:tcPr>
            <w:tcW w:type="dxa" w:w="360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color w:val="2C3E5A"/>
                <w:sz w:val="20"/>
                <w:szCs w:val="20"/>
              </w:rPr>
              <w:t xml:space="preserve">A department is missing from the charts</w:t>
            </w:r>
          </w:p>
        </w:tc>
        <w:tc>
          <w:tcPr>
            <w:tcW w:type="dxa" w:w="57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color w:val="2C3E5A"/>
                <w:sz w:val="20"/>
                <w:szCs w:val="20"/>
              </w:rPr>
              <w:t xml:space="preserve">Ensure the Department column (C) is spelled consistently — any variation creates a separate group.</w:t>
            </w:r>
          </w:p>
        </w:tc>
      </w:tr>
      <w:tr>
        <w:tc>
          <w:tcPr>
            <w:tcW w:type="dxa" w:w="360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color w:val="2C3E5A"/>
                <w:sz w:val="20"/>
                <w:szCs w:val="20"/>
              </w:rPr>
              <w:t xml:space="preserve">Bonus estimates look wrong</w:t>
            </w:r>
          </w:p>
        </w:tc>
        <w:tc>
          <w:tcPr>
            <w:tcW w:type="dxa" w:w="57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color w:val="2C3E5A"/>
                <w:sz w:val="20"/>
                <w:szCs w:val="20"/>
              </w:rPr>
              <w:t xml:space="preserve">Review the Tiers sheet — check that Min/Max Attainment and Bonus % columns are numbers, not text.</w:t>
            </w:r>
          </w:p>
        </w:tc>
      </w:tr>
      <w:tr>
        <w:tc>
          <w:tcPr>
            <w:tcW w:type="dxa" w:w="360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color w:val="2C3E5A"/>
                <w:sz w:val="20"/>
                <w:szCs w:val="20"/>
              </w:rPr>
              <w:t xml:space="preserve">A rep appears even though they left</w:t>
            </w:r>
          </w:p>
        </w:tc>
        <w:tc>
          <w:tcPr>
            <w:tcW w:type="dxa" w:w="57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color w:val="2C3E5A"/>
                <w:sz w:val="20"/>
                <w:szCs w:val="20"/>
              </w:rPr>
              <w:t xml:space="preserve">Set column N (Active) to N for that rep and re-upload the file.</w:t>
            </w:r>
          </w:p>
        </w:tc>
      </w:tr>
      <w:tr>
        <w:tc>
          <w:tcPr>
            <w:tcW w:type="dxa" w:w="360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color w:val="2C3E5A"/>
                <w:sz w:val="20"/>
                <w:szCs w:val="20"/>
              </w:rPr>
              <w:t xml:space="preserve">Charts don't appear after upload</w:t>
            </w:r>
          </w:p>
        </w:tc>
        <w:tc>
          <w:tcPr>
            <w:tcW w:type="dxa" w:w="5760"/>
            <w:tcBorders>
              <w:top w:val="single" w:color="D0D5E0" w:sz="1"/>
              <w:left w:val="single" w:color="D0D5E0" w:sz="1"/>
              <w:bottom w:val="single" w:color="D0D5E0" w:sz="1"/>
              <w:right w:val="single" w:color="D0D5E0" w:sz="1"/>
            </w:tcBorders>
            <w:shd w:fill="F2F4F8" w:val="clear"/>
            <w:tcMar>
              <w:top w:type="dxa" w:w="100"/>
              <w:left w:type="dxa" w:w="160"/>
              <w:bottom w:type="dxa" w:w="100"/>
              <w:right w:type="dxa" w:w="160"/>
            </w:tcMar>
          </w:tcPr>
          <w:p>
            <w:r>
              <w:rPr>
                <w:rFonts w:ascii="Arial" w:cs="Arial" w:eastAsia="Arial" w:hAnsi="Arial"/>
                <w:color w:val="2C3E5A"/>
                <w:sz w:val="20"/>
                <w:szCs w:val="20"/>
              </w:rPr>
              <w:t xml:space="preserve">Try a different browser. Chrome and Edge are recommended; some older browsers block local file parsing.</w:t>
            </w:r>
          </w:p>
        </w:tc>
      </w:tr>
      <w:tr>
        <w:tc>
          <w:tcPr>
            <w:tcW w:type="dxa" w:w="360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color w:val="2C3E5A"/>
                <w:sz w:val="20"/>
                <w:szCs w:val="20"/>
              </w:rPr>
              <w:t xml:space="preserve">Period toggle doesn't change numbers</w:t>
            </w:r>
          </w:p>
        </w:tc>
        <w:tc>
          <w:tcPr>
            <w:tcW w:type="dxa" w:w="5760"/>
            <w:tcBorders>
              <w:top w:val="single" w:color="D0D5E0" w:sz="1"/>
              <w:left w:val="single" w:color="D0D5E0" w:sz="1"/>
              <w:bottom w:val="single" w:color="D0D5E0" w:sz="1"/>
              <w:right w:val="single" w:color="D0D5E0" w:sz="1"/>
            </w:tcBorders>
            <w:shd w:fill="FFFFFF" w:val="clear"/>
            <w:tcMar>
              <w:top w:type="dxa" w:w="100"/>
              <w:left w:type="dxa" w:w="160"/>
              <w:bottom w:type="dxa" w:w="100"/>
              <w:right w:type="dxa" w:w="160"/>
            </w:tcMar>
          </w:tcPr>
          <w:p>
            <w:r>
              <w:rPr>
                <w:rFonts w:ascii="Arial" w:cs="Arial" w:eastAsia="Arial" w:hAnsi="Arial"/>
                <w:color w:val="2C3E5A"/>
                <w:sz w:val="20"/>
                <w:szCs w:val="20"/>
              </w:rPr>
              <w:t xml:space="preserve">Confirm that Q Quota, Q Actual, YTD Quota, and YTD Actual columns (I–L) are filled in.</w:t>
            </w:r>
          </w:p>
        </w:tc>
      </w:tr>
    </w:tbl>
    <w:p>
      <w:pPr>
        <w:spacing w:after="80" w:before="0"/>
      </w:pPr>
    </w:p>
    <w:p>
      <w:pPr>
        <w:pStyle w:val="Heading2"/>
        <w:spacing w:after="100" w:before="280"/>
      </w:pPr>
      <w:r>
        <w:rPr>
          <w:rFonts w:ascii="Arial" w:cs="Arial" w:eastAsia="Arial" w:hAnsi="Arial"/>
          <w:b/>
          <w:bCs/>
          <w:color w:val="0B1426"/>
          <w:sz w:val="26"/>
          <w:szCs w:val="26"/>
        </w:rPr>
        <w:t xml:space="preserve">Browser compatibility</w:t>
      </w:r>
    </w:p>
    <w:p>
      <w:pPr>
        <w:pStyle w:val="ListParagraph"/>
        <w:numPr>
          <w:ilvl w:val="0"/>
          <w:numId w:val="2"/>
        </w:numPr>
        <w:spacing w:after="40" w:before="40"/>
      </w:pPr>
      <w:r>
        <w:rPr>
          <w:rFonts w:ascii="Arial" w:cs="Arial" w:eastAsia="Arial" w:hAnsi="Arial"/>
          <w:color w:val="2C3E5A"/>
          <w:sz w:val="22"/>
          <w:szCs w:val="22"/>
        </w:rPr>
        <w:t xml:space="preserve">Chrome 90+ — recommended</w:t>
      </w:r>
    </w:p>
    <w:p>
      <w:pPr>
        <w:pStyle w:val="ListParagraph"/>
        <w:numPr>
          <w:ilvl w:val="0"/>
          <w:numId w:val="2"/>
        </w:numPr>
        <w:spacing w:after="40" w:before="40"/>
      </w:pPr>
      <w:r>
        <w:rPr>
          <w:rFonts w:ascii="Arial" w:cs="Arial" w:eastAsia="Arial" w:hAnsi="Arial"/>
          <w:color w:val="2C3E5A"/>
          <w:sz w:val="22"/>
          <w:szCs w:val="22"/>
        </w:rPr>
        <w:t xml:space="preserve">Edge 90+ — recommended</w:t>
      </w:r>
    </w:p>
    <w:p>
      <w:pPr>
        <w:pStyle w:val="ListParagraph"/>
        <w:numPr>
          <w:ilvl w:val="0"/>
          <w:numId w:val="2"/>
        </w:numPr>
        <w:spacing w:after="40" w:before="40"/>
      </w:pPr>
      <w:r>
        <w:rPr>
          <w:rFonts w:ascii="Arial" w:cs="Arial" w:eastAsia="Arial" w:hAnsi="Arial"/>
          <w:color w:val="2C3E5A"/>
          <w:sz w:val="22"/>
          <w:szCs w:val="22"/>
        </w:rPr>
        <w:t xml:space="preserve">Firefox 88+ — supported</w:t>
      </w:r>
    </w:p>
    <w:p>
      <w:pPr>
        <w:pStyle w:val="ListParagraph"/>
        <w:numPr>
          <w:ilvl w:val="0"/>
          <w:numId w:val="2"/>
        </w:numPr>
        <w:spacing w:after="40" w:before="40"/>
      </w:pPr>
      <w:r>
        <w:rPr>
          <w:rFonts w:ascii="Arial" w:cs="Arial" w:eastAsia="Arial" w:hAnsi="Arial"/>
          <w:color w:val="2C3E5A"/>
          <w:sz w:val="22"/>
          <w:szCs w:val="22"/>
        </w:rPr>
        <w:t xml:space="preserve">Safari 14+ — supported</w:t>
      </w:r>
    </w:p>
    <w:p>
      <w:pPr>
        <w:pStyle w:val="ListParagraph"/>
        <w:numPr>
          <w:ilvl w:val="0"/>
          <w:numId w:val="2"/>
        </w:numPr>
        <w:spacing w:after="40" w:before="40"/>
      </w:pPr>
      <w:r>
        <w:rPr>
          <w:rFonts w:ascii="Arial" w:cs="Arial" w:eastAsia="Arial" w:hAnsi="Arial"/>
          <w:color w:val="2C3E5A"/>
          <w:sz w:val="22"/>
          <w:szCs w:val="22"/>
        </w:rPr>
        <w:t xml:space="preserve">Internet Explorer — not supported</w:t>
      </w:r>
    </w:p>
    <w:p>
      <w:pPr>
        <w:spacing w:after="80" w:before="0"/>
      </w:pPr>
    </w:p>
    <w:p>
      <w:pPr>
        <w:pStyle w:val="Heading1"/>
        <w:pBdr>
          <w:bottom w:val="single" w:color="C9A84C" w:sz="6" w:space="6"/>
        </w:pBdr>
        <w:spacing w:after="160" w:before="360"/>
      </w:pPr>
      <w:r>
        <w:rPr>
          <w:rFonts w:ascii="Arial" w:cs="Arial" w:eastAsia="Arial" w:hAnsi="Arial"/>
          <w:b/>
          <w:bCs/>
          <w:color w:val="0B1426"/>
          <w:sz w:val="32"/>
          <w:szCs w:val="32"/>
        </w:rPr>
        <w:t xml:space="preserve">9. Tips &amp; Best Practices</w:t>
      </w:r>
    </w:p>
    <w:p>
      <w:pPr>
        <w:pStyle w:val="ListParagraph"/>
        <w:numPr>
          <w:ilvl w:val="0"/>
          <w:numId w:val="2"/>
        </w:numPr>
        <w:spacing w:after="40" w:before="40"/>
      </w:pPr>
      <w:r>
        <w:rPr>
          <w:rFonts w:ascii="Arial" w:cs="Arial" w:eastAsia="Arial" w:hAnsi="Arial"/>
          <w:color w:val="2C3E5A"/>
          <w:sz w:val="22"/>
          <w:szCs w:val="22"/>
        </w:rPr>
        <w:t xml:space="preserve">Lock columns A–E on the Reps sheet in Excel (Format Cells &gt; Protection) to prevent accidental edits to names, departments, and teams.</w:t>
      </w:r>
    </w:p>
    <w:p>
      <w:pPr>
        <w:pStyle w:val="ListParagraph"/>
        <w:numPr>
          <w:ilvl w:val="0"/>
          <w:numId w:val="2"/>
        </w:numPr>
        <w:spacing w:after="40" w:before="40"/>
      </w:pPr>
      <w:r>
        <w:rPr>
          <w:rFonts w:ascii="Arial" w:cs="Arial" w:eastAsia="Arial" w:hAnsi="Arial"/>
          <w:color w:val="2C3E5A"/>
          <w:sz w:val="22"/>
          <w:szCs w:val="22"/>
        </w:rPr>
        <w:t xml:space="preserve">Use Excel's data validation on column C (Department) and D (Team) to create dropdowns — this prevents spelling inconsistencies.</w:t>
      </w:r>
    </w:p>
    <w:p>
      <w:pPr>
        <w:pStyle w:val="ListParagraph"/>
        <w:numPr>
          <w:ilvl w:val="0"/>
          <w:numId w:val="2"/>
        </w:numPr>
        <w:spacing w:after="40" w:before="40"/>
      </w:pPr>
      <w:r>
        <w:rPr>
          <w:rFonts w:ascii="Arial" w:cs="Arial" w:eastAsia="Arial" w:hAnsi="Arial"/>
          <w:color w:val="2C3E5A"/>
          <w:sz w:val="22"/>
          <w:szCs w:val="22"/>
        </w:rPr>
        <w:t xml:space="preserve">At the start of each month, update columns G and H (Monthly Quota and Monthly Actual). At quarter-end, update I and J. At year-end, update K and L.</w:t>
      </w:r>
    </w:p>
    <w:p>
      <w:pPr>
        <w:pStyle w:val="ListParagraph"/>
        <w:numPr>
          <w:ilvl w:val="0"/>
          <w:numId w:val="2"/>
        </w:numPr>
        <w:spacing w:after="40" w:before="40"/>
      </w:pPr>
      <w:r>
        <w:rPr>
          <w:rFonts w:ascii="Arial" w:cs="Arial" w:eastAsia="Arial" w:hAnsi="Arial"/>
          <w:color w:val="2C3E5A"/>
          <w:sz w:val="22"/>
          <w:szCs w:val="22"/>
        </w:rPr>
        <w:t xml:space="preserve">Keep a dated backup of the Excel file each month (e.g. sales_data_2025_06.xlsx) so you can reload historical snapshots at any time.</w:t>
      </w:r>
    </w:p>
    <w:p>
      <w:pPr>
        <w:pStyle w:val="ListParagraph"/>
        <w:numPr>
          <w:ilvl w:val="0"/>
          <w:numId w:val="2"/>
        </w:numPr>
        <w:spacing w:after="40" w:before="40"/>
      </w:pPr>
      <w:r>
        <w:rPr>
          <w:rFonts w:ascii="Arial" w:cs="Arial" w:eastAsia="Arial" w:hAnsi="Arial"/>
          <w:color w:val="2C3E5A"/>
          <w:sz w:val="22"/>
          <w:szCs w:val="22"/>
        </w:rPr>
        <w:t xml:space="preserve">The dashboard and template can be stored on a shared drive (SharePoint, Google Drive, etc.) so anyone with access can download and use them.</w:t>
      </w:r>
    </w:p>
    <w:p>
      <w:pPr>
        <w:spacing w:after="80" w:before="0"/>
      </w:pPr>
    </w:p>
    <w:p>
      <w:pPr>
        <w:pBdr>
          <w:top w:val="single" w:color="E8EBF2" w:sz="4" w:space="8"/>
        </w:pBdr>
        <w:spacing w:after="0" w:before="480"/>
      </w:pPr>
      <w:r>
        <w:rPr>
          <w:rFonts w:ascii="Arial" w:cs="Arial" w:eastAsia="Arial" w:hAnsi="Arial"/>
          <w:color w:val="9CA3B0"/>
          <w:sz w:val="18"/>
          <w:szCs w:val="18"/>
        </w:rPr>
        <w:t xml:space="preserve">Pinnacle Bonus Intelligence Dashboard  |  Internal HR &amp; Sales Leadership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B0"/>
        <w:sz w:val="18"/>
        <w:szCs w:val="18"/>
      </w:rPr>
      <w:t xml:space="preserve">Pinnacle Bonus Intelligence Dashboard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2026-05-25T18:40:02.790Z</dcterms:created>
  <dcterms:modified xsi:type="dcterms:W3CDTF">2026-05-25T18:40:02.790Z</dcterms:modified>
</cp:coreProperties>
</file>

<file path=docProps/custom.xml><?xml version="1.0" encoding="utf-8"?>
<Properties xmlns="http://schemas.openxmlformats.org/officeDocument/2006/custom-properties" xmlns:vt="http://schemas.openxmlformats.org/officeDocument/2006/docPropsVTypes"/>
</file>