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dres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Smurfit Kappa Polska Sp. z o.o.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Oddział w Drezdenku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ul. Niepodległości 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66-530 Drezdenko</w:t>
      </w:r>
    </w:p>
    <w:p>
      <w:pPr>
        <w:pStyle w:val="Adres"/>
        <w:rPr>
          <w:sz w:val="22"/>
          <w:szCs w:val="22"/>
        </w:rPr>
      </w:pPr>
      <w:r>
        <w:rPr>
          <w:sz w:val="22"/>
          <w:szCs w:val="22"/>
        </w:rPr>
        <w:t>Pan Daniel Pełka</w:t>
        <w:tab/>
        <w:tab/>
        <w:tab/>
        <w:tab/>
        <w:t xml:space="preserve">             </w:t>
        <w:tab/>
        <w:t xml:space="preserve">                                     Piaseczno, 10.08.2023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Wstep"/>
        <w:rPr/>
      </w:pPr>
      <w:bookmarkStart w:id="0" w:name="wstep"/>
      <w:r>
        <w:rPr/>
        <w:t>O F E R T A</w:t>
      </w:r>
    </w:p>
    <w:p>
      <w:pPr>
        <w:pStyle w:val="Wstep"/>
        <w:rPr/>
      </w:pPr>
      <w:r>
        <w:rPr/>
        <w:t xml:space="preserve">na przebudowę systemu odbioru ścinki </w:t>
      </w:r>
    </w:p>
    <w:p>
      <w:pPr>
        <w:pStyle w:val="Wstep"/>
        <w:rPr/>
      </w:pPr>
      <w:bookmarkStart w:id="1" w:name="wstep"/>
      <w:r>
        <w:rPr/>
        <w:t>w zakładzie produkcyjnym firmy Smurfit Kappa w Drezdenku.</w:t>
      </w:r>
      <w:bookmarkEnd w:id="1"/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>Grupa 1: Elementy rurociągów.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Stożek 450 NV – 250 NV – 420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Multi/ 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 230 V „S”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0000366200)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(art.0000990303)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 xml:space="preserve">      </w:t>
            </w: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Stożek 400 NV – 300 NV – 160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300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Multi/ D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 230 V „S”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0000366200)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(art.0000990303)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 xml:space="preserve">     </w:t>
            </w: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450 mm, NV/NV,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 230 V „S” 450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0000366200)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(art.0000990303)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 xml:space="preserve">     </w:t>
            </w: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350 mm, NV/NV,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 230 V „S”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0000366200)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(art.0000990303)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 xml:space="preserve">     </w:t>
            </w: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400 mm, NV/NV,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 230 V „S” 450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0000366200)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(art.0000990303)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 xml:space="preserve">     </w:t>
            </w: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 wys.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(art.0000397860)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mocowania Multi/ D 630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(art.0000397263)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mocowania Multi/ D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2: Separator materiału PMA-U.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PMA-U 200/25/4,00- H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pis"/>
        <w:rPr/>
      </w:pPr>
      <w:r>
        <w:rPr/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>
      <w:pPr>
        <w:pStyle w:val="Opis"/>
        <w:rPr/>
      </w:pPr>
      <w:r>
        <w:rPr/>
        <w:t xml:space="preserve"> </w:t>
      </w: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75.000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zewnętrzne: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3.670 x 2.300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Rozmiar zsypu: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2.510 x 1.000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2.610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4,0 kW, 6.8/min, IP 55, 400 V, 50 Hz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Komora wlotowa separatora </w:t>
            </w:r>
          </w:p>
          <w:p>
            <w:pPr>
              <w:pStyle w:val="Czesc"/>
              <w:widowControl w:val="false"/>
              <w:rPr/>
            </w:pPr>
            <w:r>
              <w:rPr/>
              <w:t>PMA 200/25 H do wprowadzania materiału z boku (poziomo), z kołnierzem i wziernikiem, do przyłączenia wielu króćców z klapą zwrotną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separatora PMA, 350 mm,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separatora PMA, 400 mm,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 xml:space="preserve"> </w:t>
            </w: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separatora PMA, 450 mm,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Okno rewizyjne 400 x 400 mm/ 2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(art.0000455621)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Stożek 350 NV – 300 NV – 160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do rury 400 mm FL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Kanał zsypowy spod separatora 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(art.0000481063)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Komora wylotowa z serparatora PMA-x 200/25 ø 1120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(art.0000127554)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Konstrukcja pod separator po stronie klieta</w:t>
            </w:r>
          </w:p>
          <w:p>
            <w:pPr>
              <w:pStyle w:val="Czesc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(art.0000391866)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Wyłącznik remontowy 4,00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(art.0000513930)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>Grupa 3: Rurociąg od separatora materiału do filtra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950 mm, FL/FL,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950 mm, FL/NV,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950 mm, NV/KS,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950 mm, FL/KS,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950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950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950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(art.0000487295)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950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(art.0000373295)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</w:t>
            </w:r>
          </w:p>
          <w:p>
            <w:pPr>
              <w:pStyle w:val="Czesc"/>
              <w:widowControl w:val="false"/>
              <w:rPr/>
            </w:pPr>
            <w:r>
              <w:rPr/>
              <w:t>1.250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mocowania multi/ D 1.250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 wys.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(art.0000397860)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Rozgałęzienie 950 FL-800 FL/800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800 mm, FL/NV,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800 mm, FL/FL,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FL/FL,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800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(art.0000364480)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(art.0000373280)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4: Filtr powietrza MultiStar SL 18/6-529/20717A.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Filtr powietrza MultiStar</w:t>
            </w:r>
          </w:p>
          <w:p>
            <w:pPr>
              <w:pStyle w:val="Czesc"/>
              <w:widowControl w:val="false"/>
              <w:rPr/>
            </w:pPr>
            <w:r>
              <w:rPr/>
              <w:t>SL 18/6-529/20717A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pis"/>
        <w:rPr/>
      </w:pPr>
      <w:r>
        <w:rPr/>
        <w:t>Filtr typu MultiStar "SL" o konstrukcji modułowej, czyszczony strumieniem powietrza z dodatkowych wentylatorów zdmuchujących pył, przeznaczony do pracy ciągłej.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Filtr stosuje się poza obszarami zagrożonymi wybuchem.</w:t>
      </w:r>
    </w:p>
    <w:p>
      <w:pPr>
        <w:pStyle w:val="Opis"/>
        <w:rPr/>
      </w:pPr>
      <w:r>
        <w:rPr/>
        <w:t>Charakterystyka konstrukcji:</w:t>
      </w:r>
    </w:p>
    <w:p>
      <w:pPr>
        <w:pStyle w:val="Opis"/>
        <w:rPr/>
      </w:pPr>
      <w:r>
        <w:rPr/>
        <w:t>- samonośna konstrukcja z blachy ocynkowanej</w:t>
      </w:r>
    </w:p>
    <w:p>
      <w:pPr>
        <w:pStyle w:val="Opis"/>
        <w:rPr/>
      </w:pPr>
      <w:r>
        <w:rPr/>
        <w:t>- wytrzymałość na ciśnienie sprawdzona przez DEKRA-EXAM (0,21 bar)</w:t>
      </w:r>
    </w:p>
    <w:p>
      <w:pPr>
        <w:pStyle w:val="Opis"/>
        <w:rPr/>
      </w:pPr>
      <w:r>
        <w:rPr/>
        <w:t>- wytrzymałość konstrukcji na podciśnienie max. 5000 Pa</w:t>
      </w:r>
    </w:p>
    <w:p>
      <w:pPr>
        <w:pStyle w:val="Opis"/>
        <w:rPr/>
      </w:pPr>
      <w:r>
        <w:rPr/>
        <w:t xml:space="preserve">- certyfikowane w UE płyty antyeksplozyjne (podciśnienie do 5000 Pa) </w:t>
      </w:r>
    </w:p>
    <w:p>
      <w:pPr>
        <w:pStyle w:val="Opis"/>
        <w:rPr/>
      </w:pPr>
      <w:r>
        <w:rPr/>
        <w:t>- materiał filtracyjny z włókniny igłowanej zatwierdzony przez BIA/BGIA/IFA</w:t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89"/>
        <w:gridCol w:w="3614"/>
      </w:tblGrid>
      <w:tr>
        <w:trPr/>
        <w:tc>
          <w:tcPr>
            <w:tcW w:w="318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Typ filtra:</w:t>
            </w:r>
          </w:p>
        </w:tc>
        <w:tc>
          <w:tcPr>
            <w:tcW w:w="3614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MultiStar SL 18/6-432/20717A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filtrująca:</w:t>
            </w:r>
          </w:p>
        </w:tc>
        <w:tc>
          <w:tcPr>
            <w:tcW w:w="3614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423 m³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podstawy filtra:</w:t>
            </w:r>
          </w:p>
        </w:tc>
        <w:tc>
          <w:tcPr>
            <w:tcW w:w="3614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9.000 x 2.880 mm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 xml:space="preserve">Wysokość:  </w:t>
            </w:r>
          </w:p>
        </w:tc>
        <w:tc>
          <w:tcPr>
            <w:tcW w:w="3614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7.500 mm (z podstawą)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Podstawa MS 18/ 6, wys. 1.550 mm 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(art.0000394557)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2 mm,  1450 x 920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(art.0000460647)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R/E, "AS"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Kolano kanału 90° 2 mm,  </w:t>
            </w:r>
          </w:p>
          <w:p>
            <w:pPr>
              <w:pStyle w:val="Czesc"/>
              <w:widowControl w:val="false"/>
              <w:rPr/>
            </w:pPr>
            <w:r>
              <w:rPr/>
              <w:t>690 x 1.380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R/E, "S"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Króciec wylotu czystego powietrza </w:t>
            </w:r>
          </w:p>
          <w:p>
            <w:pPr>
              <w:pStyle w:val="Czesc"/>
              <w:widowControl w:val="false"/>
              <w:rPr/>
            </w:pPr>
            <w:r>
              <w:rPr/>
              <w:t>1.380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(art.0000455589)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Kolano kanału 90° 2 mm,  </w:t>
            </w:r>
          </w:p>
          <w:p>
            <w:pPr>
              <w:pStyle w:val="Czesc"/>
              <w:widowControl w:val="false"/>
              <w:rPr/>
            </w:pPr>
            <w:r>
              <w:rPr/>
              <w:t>650 x 1.380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Sucha rura gaśnicza MS 18/ 6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do pojemników na pył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(art.0000481192)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Stanowisko zbierania pyłu do MS-TS 2T</w:t>
            </w:r>
          </w:p>
          <w:p>
            <w:pPr>
              <w:pStyle w:val="Czesc"/>
              <w:widowControl w:val="false"/>
              <w:rPr/>
            </w:pPr>
            <w:r>
              <w:rPr/>
              <w:t>zespół 2 pojemników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(art.0000481148)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</w:t>
            </w:r>
            <w:r>
              <w:rPr/>
              <w:t>0000</w:t>
            </w:r>
            <w:r>
              <w:rPr/>
              <w:t>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5: Prasa brytkietująca C 4-14 L.</w:t>
      </w:r>
    </w:p>
    <w:p>
      <w:pPr>
        <w:pStyle w:val="Czesc"/>
        <w:rPr>
          <w:i/>
          <w:i/>
        </w:rPr>
      </w:pPr>
      <w:r>
        <w:rPr>
          <w:i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Prasa brykietująca BrikStar C 4-14 -L</w:t>
            </w:r>
          </w:p>
          <w:p>
            <w:pPr>
              <w:pStyle w:val="Czesc"/>
              <w:widowControl w:val="false"/>
              <w:rPr/>
            </w:pPr>
            <w:r>
              <w:rPr/>
              <w:t>(art.0000183000)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Normal"/>
        <w:ind w:firstLine="426"/>
        <w:rPr/>
      </w:pPr>
      <w:r>
        <w:rPr/>
        <w:t xml:space="preserve">  </w:t>
      </w:r>
      <w:r>
        <w:rPr/>
        <w:t xml:space="preserve">Hydrauliczna prasa brykietujaca przeznaczona do 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pracy poza obszarami zagrożonymi eksplozją, do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brykietowania bez lepiszcza materiałów zawierających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celulozę o wilgotności co najmniej 8% i nie więcej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niż 18% wagowych.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Zakres dostawy i właściwości:</w:t>
      </w:r>
    </w:p>
    <w:p>
      <w:pPr>
        <w:pStyle w:val="Normal"/>
        <w:ind w:firstLine="426"/>
        <w:rPr/>
      </w:pPr>
      <w:r>
        <w:rPr/>
        <w:t xml:space="preserve"> ───────────────────────────────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- prasa zamontowana na wspólnej ramie z agregatem hydraulicznym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- agregat hydrauliczny z układem sterowania i napędem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- przyłącze do odprowadzenia brykietów</w:t>
      </w:r>
    </w:p>
    <w:p>
      <w:pPr>
        <w:pStyle w:val="Normal"/>
        <w:ind w:firstLine="426"/>
        <w:rPr/>
      </w:pPr>
      <w:r>
        <w:rPr/>
        <w:t xml:space="preserve"> </w:t>
      </w:r>
      <w:r>
        <w:rPr/>
        <w:t>- standardowy kierunek prasowania "w lewo"</w:t>
      </w:r>
    </w:p>
    <w:p>
      <w:pPr>
        <w:pStyle w:val="Normal"/>
        <w:ind w:firstLine="426"/>
        <w:rPr/>
      </w:pPr>
      <w:r>
        <w:rPr/>
        <w:t>- zasobnik wstępny ze ślimakiem dozującym dla optymalnego napełnienia komory prasy</w:t>
      </w:r>
    </w:p>
    <w:p>
      <w:pPr>
        <w:pStyle w:val="Normal"/>
        <w:ind w:firstLine="426"/>
        <w:rPr/>
      </w:pPr>
      <w:r>
        <w:rPr/>
        <w:t>- otwór rewizyjny z wyłącznikiem bezpieczeństwa</w:t>
      </w:r>
    </w:p>
    <w:p>
      <w:pPr>
        <w:pStyle w:val="Normal"/>
        <w:ind w:firstLine="426"/>
        <w:rPr/>
      </w:pPr>
      <w:r>
        <w:rPr/>
        <w:t>- szafa sterownicza z programowanym sterownikiem</w:t>
      </w:r>
    </w:p>
    <w:p>
      <w:pPr>
        <w:pStyle w:val="Normal"/>
        <w:ind w:firstLine="426"/>
        <w:rPr/>
      </w:pPr>
      <w:r>
        <w:rPr/>
        <w:t>- elektronicznie regulowana siła zgniotu</w:t>
      </w:r>
    </w:p>
    <w:p>
      <w:pPr>
        <w:pStyle w:val="Normal"/>
        <w:ind w:firstLine="426"/>
        <w:rPr/>
      </w:pPr>
      <w:r>
        <w:rPr/>
        <w:t>- wbudowana kontrola temperatury, praca ciągła max.6-8 godz.</w:t>
      </w:r>
    </w:p>
    <w:p>
      <w:pPr>
        <w:pStyle w:val="Opis"/>
        <w:rPr>
          <w:i/>
          <w:i/>
        </w:rPr>
      </w:pPr>
      <w:r>
        <w:rPr>
          <w:i/>
        </w:rPr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Wydajność, max.: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70 kg/h lub 1,00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pompy hydraulicznej: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4,00 kW, 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mieszadła: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0,37 kW, 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Srednica brykietu: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65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 prasy: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960 kg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Zbiornik na pył: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1.380 x 1.380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1.400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prasy: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1.850 x 1.630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Potrzebna powierzchnia: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3.150 x 2.930 mm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Czujnik przepełnienia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(art.0000193919)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Łopatka (przy materiale lekkim)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(art.0000152724)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Izolacja cieplna do pracy na zewnątrz</w:t>
            </w:r>
          </w:p>
          <w:p>
            <w:pPr>
              <w:pStyle w:val="Czesc"/>
              <w:widowControl w:val="false"/>
              <w:rPr/>
            </w:pPr>
            <w:r>
              <w:rPr/>
              <w:t>(art.0000185406)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Olej „arktyczny” Cx 4</w:t>
            </w:r>
          </w:p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(art.0000193943)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Odstepczesci"/>
        <w:rPr>
          <w:lang w:val="en-US"/>
        </w:rPr>
      </w:pPr>
      <w:r>
        <w:rPr>
          <w:lang w:val="en-US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Drzwiczki inspekcyjne</w:t>
            </w:r>
          </w:p>
          <w:p>
            <w:pPr>
              <w:pStyle w:val="Czesc"/>
              <w:widowControl w:val="false"/>
              <w:rPr/>
            </w:pPr>
            <w:r>
              <w:rPr/>
              <w:t>(art.0000193671)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en-US"/>
        </w:rPr>
      </w:pPr>
      <w:r>
        <w:rPr>
          <w:lang w:val="en-US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pomiędzy filtrem powietrza a prasą brykietującą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en-US"/>
        </w:rPr>
      </w:pPr>
      <w:r>
        <w:rPr>
          <w:lang w:val="en-US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Pokrywa pojemnika 1414</w:t>
            </w:r>
          </w:p>
          <w:p>
            <w:pPr>
              <w:pStyle w:val="Czesc"/>
              <w:widowControl w:val="false"/>
              <w:rPr/>
            </w:pPr>
            <w:r>
              <w:rPr/>
              <w:t>(art.0000184693)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en-US"/>
        </w:rPr>
      </w:pPr>
      <w:r>
        <w:rPr>
          <w:lang w:val="en-US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PCV wyprowadzająca brykiety z prasy, dł. ca 5 m, z materiałami montażowymi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(art.0000193300)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en-US"/>
        </w:rPr>
      </w:pPr>
      <w:r>
        <w:rPr>
          <w:lang w:val="en-US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Sterowanie pracą prasy brykietującej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(art.0000529033)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6: Kanał powrotny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Przepustnica wielopłaszczyznowa F-MOT 24 V, 1.380 mm x 650 mm wys.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(art.0000458300)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A/S, "S" 1120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1.120 mm, FL/FL,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1.120 mm, FL/NV,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1.120 mm, FL/KS, dł. 1.000 mm</w:t>
            </w:r>
          </w:p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1.120 mm, NV/KS,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90°, 1.530 x 1.530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A/S, "S" 1.120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1D, FL/FL, 1.120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1.120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1.120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(art.0000487394)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1.120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(art.0000373294)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</w:t>
            </w:r>
          </w:p>
          <w:p>
            <w:pPr>
              <w:pStyle w:val="Czesc"/>
              <w:widowControl w:val="false"/>
              <w:rPr/>
            </w:pPr>
            <w:r>
              <w:rPr/>
              <w:t>1.250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mocowania multi/ D 1.250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A/S, "S" 1.120 mm</w:t>
            </w:r>
          </w:p>
          <w:p>
            <w:pPr>
              <w:pStyle w:val="Czesc"/>
              <w:widowControl w:val="false"/>
              <w:rPr/>
            </w:pPr>
            <w:r>
              <w:rPr/>
              <w:t>1260 x 800 mm, dł. 680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1.260 x 800 mm, dł. 1.00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przeciwpożarowa FK 90/E</w:t>
            </w:r>
          </w:p>
          <w:p>
            <w:pPr>
              <w:pStyle w:val="Czesc"/>
              <w:widowControl w:val="false"/>
              <w:rPr/>
            </w:pPr>
            <w:r>
              <w:rPr/>
              <w:t>1.260 mm x 800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pis"/>
        <w:rPr/>
      </w:pPr>
      <w:r>
        <w:rPr/>
        <w:t xml:space="preserve">w obudowie ze stali ocynkowanej, z płytą z materiału nie zawierającego azbestu, z dwoma otworami rewizyjnymi; mechanizm wyzwalający przy 72° C; elektryczny wyłącznik krańcowy sygnalizujący zamknięcie klapy; wykonanie </w:t>
      </w:r>
    </w:p>
    <w:p>
      <w:pPr>
        <w:pStyle w:val="Opis"/>
        <w:rPr/>
      </w:pPr>
      <w:r>
        <w:rPr/>
        <w:t>wg. DIN 4102; klasa ochrony przeciwpoż. K 90. Do wbudowania w ścianę o grubości ok. 120 mm.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Kanał perforowany 1.260 x 800mm, </w:t>
            </w:r>
          </w:p>
          <w:p>
            <w:pPr>
              <w:pStyle w:val="Czesc"/>
              <w:widowControl w:val="false"/>
              <w:rPr/>
            </w:pPr>
            <w:r>
              <w:rPr/>
              <w:t>dł. 1.500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Zaślepka kanału perforowanego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1.260 x 800 mm,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kanału 1.380 x 650 mm, L60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(art.0000391589)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>
          <w:lang w:val="de-DE"/>
        </w:rPr>
      </w:pPr>
      <w:r>
        <w:rPr>
          <w:lang w:val="de-DE"/>
        </w:rPr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 xml:space="preserve">Grupa 7: Klapa przeciwwybuchowa RSK-ATEX i cztery membrany uwalniające </w:t>
        <w:br/>
        <w:t xml:space="preserve">                 ciśnienie w kanale powrotnym powietrza (wymagane przez </w:t>
        <w:br/>
        <w:t xml:space="preserve">                 ubezpieczycieli).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Klapa przeciwwybuchowa B-Flap I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DN 800 mm, z czujnikiem położenia klapy NE 5001, skrzynką połączeniową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J-Box Atex, przekaźnikiem iskrobezpiecznym 9170-10-11-11A i kompletem antykołnierzy (2 sztuki). 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242.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T 650 x 1.380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(art.0000463589)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1.530 x 1.380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(art.0000454389)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246.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Kanał T 1.260 x 800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(art.0000457400)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248.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1.260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(art.0000454309)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>
          <w:i/>
          <w:i/>
        </w:rPr>
      </w:pPr>
      <w:r>
        <w:rPr>
          <w:i/>
        </w:rPr>
        <w:t>Grupa 8: Wentylator wyciągowy – opcja EUR 21.382,90</w:t>
      </w:r>
    </w:p>
    <w:p>
      <w:pPr>
        <w:pStyle w:val="Odstepczesci"/>
        <w:rPr>
          <w:i/>
          <w:i/>
        </w:rPr>
      </w:pPr>
      <w:r>
        <w:rPr>
          <w:i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Wentylator wyciągowy G3-65K-RD-IE3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(art.0000280000)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18 480,00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Opis"/>
        <w:rPr>
          <w:i/>
          <w:i/>
        </w:rPr>
      </w:pPr>
      <w:r>
        <w:rPr>
          <w:i/>
        </w:rPr>
      </w:r>
    </w:p>
    <w:p>
      <w:pPr>
        <w:pStyle w:val="Opis"/>
        <w:rPr>
          <w:i/>
          <w:i/>
        </w:rPr>
      </w:pPr>
      <w:r>
        <w:rPr>
          <w:i/>
        </w:rPr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Klasyfikacja według Atex: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EX II 3G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Wydajność: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24.000 – 65.000 cbm/h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Silnik: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>
                <w:i/>
                <w:i/>
              </w:rPr>
            </w:pPr>
            <w:r>
              <w:rPr>
                <w:i/>
              </w:rPr>
              <w:t>30,0 kW, 978U/min, 50 Hz, IE3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Przyłącze elastyczne z wewnętrzną rurą ochornną, 1.120 mm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(art.0000365400)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785,00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Czesc"/>
        <w:rPr>
          <w:i/>
          <w:i/>
        </w:rPr>
      </w:pPr>
      <w:r>
        <w:rPr>
          <w:i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Pierścień z kołnierzem 1.120 mm, ocynk.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(art.0000487394)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127,05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Czesc"/>
        <w:rPr>
          <w:i/>
          <w:i/>
        </w:rPr>
      </w:pPr>
      <w:r>
        <w:rPr>
          <w:i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Amortyzator wibracji M 12 -320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(art.0000037224)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72,60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Czesc"/>
        <w:rPr>
          <w:i/>
          <w:i/>
        </w:rPr>
      </w:pPr>
      <w:r>
        <w:rPr>
          <w:i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 xml:space="preserve">Materiały montażowe, 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 xml:space="preserve">drobne części montażowe, 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elementy łączące i wzmacniające.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(art.0000489993)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135,00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Czesc"/>
        <w:rPr>
          <w:i/>
          <w:i/>
        </w:rPr>
      </w:pPr>
      <w:r>
        <w:rPr>
          <w:i/>
        </w:rPr>
        <w:t>W razie potrzeby możliwe będzie zainstalowanie wentylatora wyciągowego za filtrem. Wymagać to będzie jedynie przebudowy kanału powrotnego powietrza.</w:t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9: Szafa sterownicza.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Szafa sterownicza SPS-60 SPS-Strg 60 kW, panelem operatorskim „9” </w:t>
            </w:r>
          </w:p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Simatic TP 900 Comfort</w:t>
            </w:r>
          </w:p>
          <w:p>
            <w:pPr>
              <w:pStyle w:val="Czesc"/>
              <w:widowControl w:val="false"/>
              <w:rPr/>
            </w:pPr>
            <w:r>
              <w:rPr/>
              <w:t>(art0000520000.)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pis"/>
        <w:ind w:left="510" w:right="2974" w:hanging="0"/>
        <w:rPr/>
      </w:pPr>
      <w:r>
        <w:rPr/>
        <w:t>W zakres dostawy wchodzą wszystkie potrzebne elementy sterowania oraz schematy połączeń elektrycznych.</w:t>
      </w:r>
    </w:p>
    <w:p>
      <w:pPr>
        <w:pStyle w:val="Opis"/>
        <w:ind w:left="510" w:right="2974" w:hanging="0"/>
        <w:rPr/>
      </w:pPr>
      <w:r>
        <w:rPr/>
        <w:t>Sterowanie obsługuje wszystkie elementy funkcjonalne instalacji.</w:t>
      </w:r>
    </w:p>
    <w:p>
      <w:pPr>
        <w:pStyle w:val="Odstepczesci"/>
        <w:ind w:right="2974" w:hanging="0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10: Koszty dostawy i montaż.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pakowania</w:t>
            </w:r>
          </w:p>
          <w:p>
            <w:pPr>
              <w:pStyle w:val="Czesc"/>
              <w:widowControl w:val="false"/>
              <w:rPr/>
            </w:pPr>
            <w:r>
              <w:rPr/>
              <w:t>(art.0021090603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transportu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(art.000021090603)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montażu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Uruchomienie instalacji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Podsystem"/>
        <w:rPr/>
      </w:pPr>
      <w:r>
        <w:rPr/>
        <w:t xml:space="preserve">Grupa 11: Koszty dodatkowe. </w:t>
      </w:r>
    </w:p>
    <w:p>
      <w:pPr>
        <w:pStyle w:val="Czesc"/>
        <w:rPr/>
      </w:pPr>
      <w:r>
        <w:rPr/>
      </w:r>
    </w:p>
    <w:p>
      <w:pPr>
        <w:pStyle w:val="Odstepczesci"/>
        <w:rPr>
          <w:b/>
          <w:b/>
        </w:rPr>
      </w:pPr>
      <w:r>
        <w:rPr>
          <w:b/>
        </w:rPr>
        <w:t xml:space="preserve">Udział w pokryciu kosztów następujących operacji do kwoty PLN 100.000,00. </w:t>
      </w:r>
    </w:p>
    <w:p>
      <w:pPr>
        <w:pStyle w:val="Odstepczesci"/>
        <w:jc w:val="cente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Usunięcie płyt izolacyjnych z cyklonu (alpiniści)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Wynajęcie dużego dźwigu do zdjęcia cyklonu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Wynajęcie dużego podnośnika do prac przy demontażu cyklonu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Wynajęcie zwyżki (lub zwyżek) nożycowej do prac montażowych wewnątrz i na zewnątrz hali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jc w:val="cente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Położenie przewodów elektrycznych według zaleceń dostawcy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jc w:val="cente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Doprowadzenie sprężonego powietrza według zaleceń dostawcy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jc w:val="cente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Dostosowanie konstrukcji nośnej cyklonu do zainstalowania separatora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(art.0000111111)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Odstepczesci"/>
        <w:jc w:val="center"/>
        <w:rPr>
          <w:b/>
          <w:b/>
        </w:rPr>
      </w:pPr>
      <w:r>
        <w:rPr>
          <w:b/>
        </w:rPr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Odstepczesci"/>
        <w:rPr/>
      </w:pPr>
      <w:r>
        <w:rPr/>
      </w:r>
    </w:p>
    <w:tbl>
      <w:tblPr>
        <w:tblW w:w="9214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5"/>
        <w:gridCol w:w="269"/>
        <w:gridCol w:w="426"/>
        <w:gridCol w:w="6096"/>
        <w:gridCol w:w="708"/>
        <w:gridCol w:w="1219"/>
      </w:tblGrid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88</w:t>
            </w:r>
          </w:p>
        </w:tc>
        <w:tc>
          <w:tcPr>
            <w:tcW w:w="60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Elementy rurociągów.</w:t>
            </w:r>
          </w:p>
          <w:p>
            <w:pPr>
              <w:pStyle w:val="Czesc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14 742,17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112</w:t>
            </w:r>
          </w:p>
        </w:tc>
        <w:tc>
          <w:tcPr>
            <w:tcW w:w="60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 PMA-U.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51 710,40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114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152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 od separatora materiału do filtra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14 763,04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154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Filtr powietrza MultiStar SL 18/6-432/20717A.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137 636,12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196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Prasa brytkietująca C 4-14 L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36 269,08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198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lang w:val="de-DE"/>
              </w:rPr>
            </w:pPr>
            <w:r>
              <w:rPr>
                <w:lang w:val="de-DE"/>
              </w:rPr>
              <w:t>238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Kanał powrotny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33 668,95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250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Klapa przeciwwybuchowa RSK-ATEX.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23 878,87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i/>
                <w:i/>
              </w:rPr>
            </w:pPr>
            <w:r>
              <w:rPr>
                <w:i/>
              </w:rPr>
              <w:t>252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i/>
                <w:i/>
              </w:rPr>
            </w:pPr>
            <w:r>
              <w:rPr>
                <w:i/>
              </w:rPr>
              <w:t>260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>
                <w:i/>
                <w:i/>
              </w:rPr>
            </w:pPr>
            <w:r>
              <w:rPr>
                <w:i/>
              </w:rPr>
              <w:t>Wentylator wyciągowy –</w:t>
            </w:r>
            <w:r>
              <w:rPr>
                <w:b/>
                <w:i/>
              </w:rPr>
              <w:t xml:space="preserve"> opcja EUR 21.382,90</w:t>
            </w:r>
          </w:p>
          <w:p>
            <w:pPr>
              <w:pStyle w:val="Podsumowanie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0,00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262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262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Szafa sterownicza.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27 048,60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264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Montaż.</w:t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75 335,00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272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284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 xml:space="preserve">Koszty dodatkowe. </w:t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22 000,00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  <w:t>Razem netto:</w:t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219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437 052,23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  <w:t>- uzgodniony rabat</w:t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219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67 052,23</w:t>
            </w:r>
          </w:p>
        </w:tc>
      </w:tr>
      <w:tr>
        <w:trPr>
          <w:cantSplit w:val="true"/>
        </w:trPr>
        <w:tc>
          <w:tcPr>
            <w:tcW w:w="495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rPr>
                <w:b/>
                <w:b/>
              </w:rPr>
            </w:pPr>
            <w:r>
              <w:rPr>
                <w:b/>
              </w:rPr>
              <w:t>łączna wartość neto DAP Drezdenko:</w:t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219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Podsumowanie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370 000,00</w:t>
            </w:r>
          </w:p>
        </w:tc>
      </w:tr>
    </w:tbl>
    <w:p>
      <w:pPr>
        <w:pStyle w:val="Odstepczesci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u w:val="single"/>
        </w:rPr>
        <w:t>Cena netto:</w:t>
      </w:r>
      <w:r>
        <w:rPr/>
        <w:tab/>
        <w:t>EUR 370 000,00</w:t>
      </w:r>
    </w:p>
    <w:p>
      <w:pPr>
        <w:pStyle w:val="Normal"/>
        <w:rPr/>
      </w:pPr>
      <w:r>
        <w:rPr/>
        <w:tab/>
        <w:tab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left="1440" w:hanging="1440"/>
        <w:rPr/>
      </w:pPr>
      <w:r>
        <w:rPr>
          <w:u w:val="single"/>
        </w:rPr>
        <w:t>Baza dostawy:</w:t>
      </w:r>
      <w:r>
        <w:rPr/>
        <w:tab/>
        <w:t>DAP Drezdenko; cena zawiera koszt dostawy na miejsce przeznaczenia;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Płatność:</w:t>
      </w:r>
      <w:r>
        <w:rPr/>
        <w:tab/>
        <w:t>30% wartości zamówienia brutto, tj. kwota EUR 136.530,00 – przy zamówieniu;</w:t>
      </w:r>
    </w:p>
    <w:p>
      <w:pPr>
        <w:pStyle w:val="Normal"/>
        <w:ind w:left="1440" w:hanging="0"/>
        <w:rPr/>
      </w:pPr>
      <w:r>
        <w:rPr/>
        <w:t>30% wartości zamówienia brutto, tj. kwota EUR 136.530,00 – za zawiadomienie o gotowości do dostawy;</w:t>
      </w:r>
    </w:p>
    <w:p>
      <w:pPr>
        <w:pStyle w:val="Normal"/>
        <w:ind w:left="1440" w:hanging="0"/>
        <w:rPr/>
      </w:pPr>
      <w:r>
        <w:rPr/>
        <w:t>30% wartości zamówienia brutto, tj. kwota EUR 136.530,00 – w ciągu 30 dni od uruchomienia</w:t>
      </w:r>
    </w:p>
    <w:p>
      <w:pPr>
        <w:pStyle w:val="Normal"/>
        <w:ind w:left="1440" w:hanging="0"/>
        <w:rPr/>
      </w:pPr>
      <w:r>
        <w:rPr/>
        <w:t>10% wartości zamówienia brutto, tj. kwota EUR   45.510,00 – w ciągu 180 od uruchomienia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Termin dostawy:</w:t>
      </w:r>
      <w:r>
        <w:rPr/>
        <w:tab/>
        <w:t xml:space="preserve">ca 14 tygodni od dnia otrzymania zamówienia i wpłynięcia zaliczki; </w:t>
      </w:r>
    </w:p>
    <w:p>
      <w:pPr>
        <w:pStyle w:val="Normal"/>
        <w:jc w:val="both"/>
        <w:rPr/>
      </w:pPr>
      <w:r>
        <w:rPr/>
        <w:tab/>
        <w:tab/>
        <w:t>(z zastrzeżeniem szczególnych okoliczności, które mogą spowodować opóźnienie);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u w:val="single"/>
        </w:rPr>
        <w:t>Gwarancja:</w:t>
      </w:r>
      <w:r>
        <w:rPr/>
        <w:tab/>
        <w:t xml:space="preserve">12 miesięcy od dnia uruchomienia; gwarancja nie obejmuje części zużywających się w sposób </w:t>
        <w:tab/>
        <w:tab/>
        <w:t>naturalny;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Ważność oferty:</w:t>
      </w:r>
      <w:r>
        <w:rPr/>
        <w:tab/>
        <w:t>oferta jest ważna przez jeden miesiąc.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Po stronie klienta:</w:t>
      </w:r>
      <w:r>
        <w:rPr/>
        <w:t xml:space="preserve"> wykonanie i zamknięcie niezbędnych otworów i przepustów montażowych, przygotowanie </w:t>
      </w:r>
    </w:p>
    <w:p>
      <w:pPr>
        <w:pStyle w:val="Normal"/>
        <w:ind w:left="1440" w:firstLine="105"/>
        <w:rPr/>
      </w:pPr>
      <w:r>
        <w:rPr/>
        <w:t>potrzebnego fundamentu, doprowadzenie  zasilania do dostarczonych urządzeń.</w:t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pomiary poziomu ciśnienia akustycznego i emisji zanieczyszczeń.</w:t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Zakonczenie"/>
        <w:spacing w:before="0" w:after="2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709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21"/>
      <w:rPr>
        <w:sz w:val="40"/>
        <w:szCs w:val="40"/>
      </w:rPr>
    </w:pPr>
    <w:r>
      <w:rPr/>
      <w:drawing>
        <wp:inline distT="0" distB="0" distL="0" distR="0">
          <wp:extent cx="5753100" cy="28575"/>
          <wp:effectExtent l="0" t="0" r="0" b="0"/>
          <wp:docPr id="3" name="Obraz 88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88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>
        <w:sz w:val="16"/>
      </w:rPr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>
        <w:sz w:val="16"/>
      </w:rPr>
    </w:pPr>
    <w:r>
      <w:drawing>
        <wp:anchor behindDoc="0" distT="0" distB="0" distL="114300" distR="114300" simplePos="0" locked="0" layoutInCell="0" allowOverlap="1" relativeHeight="44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hrough wrapText="bothSides">
            <wp:wrapPolygon edited="0">
              <wp:start x="3016" y="0"/>
              <wp:lineTo x="-53" y="508"/>
              <wp:lineTo x="-53" y="16880"/>
              <wp:lineTo x="6141" y="17390"/>
              <wp:lineTo x="7487" y="20698"/>
              <wp:lineTo x="7810" y="20698"/>
              <wp:lineTo x="9911" y="20698"/>
              <wp:lineTo x="10234" y="20698"/>
              <wp:lineTo x="13358" y="17390"/>
              <wp:lineTo x="19875" y="17390"/>
              <wp:lineTo x="20899" y="15778"/>
              <wp:lineTo x="21276" y="3223"/>
              <wp:lineTo x="21276" y="0"/>
              <wp:lineTo x="7810" y="0"/>
              <wp:lineTo x="3016" y="0"/>
            </wp:wrapPolygon>
          </wp:wrapThrough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6d4da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sid w:val="006d4da0"/>
    <w:rPr>
      <w:strike w:val="false"/>
      <w:dstrike w:val="false"/>
      <w:vanish/>
      <w:color w:val="FF0000"/>
      <w:position w:val="0"/>
      <w:sz w:val="20"/>
      <w:vertAlign w:val="baseline"/>
    </w:rPr>
  </w:style>
  <w:style w:type="character" w:styleId="StopkaZnak" w:customStyle="1">
    <w:name w:val="Stopka Znak"/>
    <w:uiPriority w:val="99"/>
    <w:qFormat/>
    <w:rsid w:val="00050f97"/>
    <w:rPr/>
  </w:style>
  <w:style w:type="character" w:styleId="TekstdymkaZnak" w:customStyle="1">
    <w:name w:val="Tekst dymka Znak"/>
    <w:basedOn w:val="DefaultParagraphFont"/>
    <w:link w:val="BalloonText"/>
    <w:qFormat/>
    <w:rsid w:val="00dc1b15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Czesc"/>
    <w:autoRedefine/>
    <w:qFormat/>
    <w:rsid w:val="00ca308a"/>
    <w:pPr>
      <w:keepNext w:val="true"/>
      <w:ind w:left="510" w:hanging="0"/>
      <w:outlineLvl w:val="0"/>
    </w:pPr>
    <w:rPr>
      <w:b/>
      <w:sz w:val="24"/>
    </w:rPr>
  </w:style>
  <w:style w:type="paragraph" w:styleId="Czesc" w:customStyle="1">
    <w:name w:val="czesc"/>
    <w:basedOn w:val="Normal"/>
    <w:qFormat/>
    <w:rsid w:val="006d4da0"/>
    <w:pPr>
      <w:tabs>
        <w:tab w:val="clear" w:pos="720"/>
        <w:tab w:val="left" w:pos="567" w:leader="none"/>
        <w:tab w:val="left" w:pos="5245" w:leader="none"/>
        <w:tab w:val="left" w:pos="5954" w:leader="none"/>
        <w:tab w:val="left" w:pos="7655" w:leader="none"/>
      </w:tabs>
    </w:pPr>
    <w:rPr/>
  </w:style>
  <w:style w:type="paragraph" w:styleId="Parametr" w:customStyle="1">
    <w:name w:val="parametr"/>
    <w:basedOn w:val="Normal"/>
    <w:autoRedefine/>
    <w:qFormat/>
    <w:rsid w:val="006d4da0"/>
    <w:pPr/>
    <w:rPr/>
  </w:style>
  <w:style w:type="paragraph" w:styleId="Opis" w:customStyle="1">
    <w:name w:val="opis"/>
    <w:basedOn w:val="Normal"/>
    <w:autoRedefine/>
    <w:qFormat/>
    <w:rsid w:val="006d4da0"/>
    <w:pPr>
      <w:ind w:left="510" w:right="2126" w:hanging="0"/>
      <w:jc w:val="both"/>
    </w:pPr>
    <w:rPr/>
  </w:style>
  <w:style w:type="paragraph" w:styleId="Wstep" w:customStyle="1">
    <w:name w:val="wstep"/>
    <w:basedOn w:val="Normal"/>
    <w:autoRedefine/>
    <w:qFormat/>
    <w:rsid w:val="006d4da0"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rsid w:val="006d4da0"/>
    <w:pPr>
      <w:spacing w:before="0" w:after="24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rsid w:val="006d4da0"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rsid w:val="006d4da0"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rsid w:val="006d4da0"/>
    <w:pPr/>
    <w:rPr/>
  </w:style>
  <w:style w:type="paragraph" w:styleId="Adres" w:customStyle="1">
    <w:name w:val="Adres"/>
    <w:basedOn w:val="Normal"/>
    <w:qFormat/>
    <w:rsid w:val="006d4da0"/>
    <w:pPr/>
    <w:rPr>
      <w:sz w:val="24"/>
    </w:rPr>
  </w:style>
  <w:style w:type="paragraph" w:styleId="Odstepczesci" w:customStyle="1">
    <w:name w:val="odstep_czesci"/>
    <w:basedOn w:val="Normal"/>
    <w:qFormat/>
    <w:rsid w:val="0080052d"/>
    <w:pPr/>
    <w:rPr/>
  </w:style>
  <w:style w:type="paragraph" w:styleId="BalloonText">
    <w:name w:val="Balloon Text"/>
    <w:basedOn w:val="Normal"/>
    <w:link w:val="TekstdymkaZnak"/>
    <w:qFormat/>
    <w:rsid w:val="00dc1b1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3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D761-295C-4DA5-A531-F9B1D39E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8721</TotalTime>
  <Application>LibreOffice/7.4.1.2$Windows_X86_64 LibreOffice_project/3c58a8f3a960df8bc8fd77b461821e42c061c5f0</Application>
  <AppVersion>15.0000</AppVersion>
  <Pages>14</Pages>
  <Words>2760</Words>
  <Characters>15927</Characters>
  <CharactersWithSpaces>18354</CharactersWithSpaces>
  <Paragraphs>856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2022-05-31T07:03:00Z</dcterms:created>
  <dc:creator>user</dc:creator>
  <dc:description/>
  <dc:language>en-US</dc:language>
  <cp:lastModifiedBy/>
  <cp:lastPrinted>2023-08-10T10:37:00Z</cp:lastPrinted>
  <dcterms:modified xsi:type="dcterms:W3CDTF">2023-09-25T20:03:22Z</dcterms:modified>
  <cp:revision>112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