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Adres"/>
        <w:rPr/>
      </w:pPr>
      <w:r>
        <w:rPr/>
        <w:t>${nazwa klienta}</w:t>
      </w:r>
    </w:p>
    <w:p>
      <w:pPr>
        <w:pStyle w:val="Adres"/>
        <w:rPr/>
      </w:pPr>
      <w:r>
        <w:rPr/>
        <w:t>${adres klienta}</w:t>
      </w:r>
    </w:p>
    <w:p>
      <w:pPr>
        <w:pStyle w:val="Adres"/>
        <w:rPr/>
      </w:pPr>
      <w:r>
        <w:rPr/>
        <w:t>${kod pocztowy klienta}</w:t>
      </w:r>
    </w:p>
    <w:p>
      <w:pPr>
        <w:pStyle w:val="Adres"/>
        <w:jc w:val="left"/>
        <w:rPr/>
      </w:pPr>
      <w:r>
        <w:rPr/>
        <w:t xml:space="preserve">${imię nazwisko klienta} </w:t>
      </w:r>
    </w:p>
    <w:p>
      <w:pPr>
        <w:pStyle w:val="Data"/>
        <w:rPr/>
      </w:pPr>
      <w:r>
        <w:rPr/>
        <w:t>Piaseczno, ${data}</w:t>
      </w:r>
    </w:p>
    <w:p>
      <w:pPr>
        <w:pStyle w:val="Adres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Wstep"/>
        <w:ind w:left="1440" w:right="0" w:hanging="1440"/>
        <w:rPr/>
      </w:pPr>
      <w:r>
        <w:rPr/>
        <w:t>O F E R T A</w:t>
      </w:r>
    </w:p>
    <w:p>
      <w:pPr>
        <w:pStyle w:val="Wstep"/>
        <w:ind w:left="1440" w:right="0" w:hanging="1440"/>
        <w:rPr/>
      </w:pPr>
      <w:r>
        <w:rPr/>
        <w:t>na system pneumatycznego odbioru ścinki w firmie ${miejsce instalacji}.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${groups}</w:t>
      </w:r>
    </w:p>
    <w:p>
      <w:pPr>
        <w:pStyle w:val="Normal"/>
        <w:rPr/>
      </w:pPr>
      <w:r>
        <w:rPr/>
      </w:r>
    </w:p>
    <w:p>
      <w:pPr>
        <w:pStyle w:val="Podsystem"/>
        <w:ind w:left="510" w:right="0" w:hanging="0"/>
        <w:rPr/>
      </w:pPr>
      <w:r>
        <w:rPr/>
        <w:t>Grupa 1: Przyłącze nr 1 do tekturnicy (tektura dwuwarstwowa).</w:t>
      </w:r>
    </w:p>
    <w:p>
      <w:pPr>
        <w:pStyle w:val="Komentarz"/>
        <w:rPr/>
      </w:pPr>
      <w:r>
        <w:rPr/>
        <w:t>Zalecamy użycie noża rozcinającego wstęgę szerszą niż 100 mm.</w:t>
      </w:r>
    </w:p>
    <w:p>
      <w:pPr>
        <w:pStyle w:val="Normal"/>
        <w:rPr/>
      </w:pPr>
      <w:r>
        <w:rPr/>
      </w:r>
    </w:p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widowControl w:val="false"/>
              <w:jc w:val="righ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widowControl w:val="false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Czujnik PTC 22,00 kW</w:t>
            </w:r>
          </w:p>
          <w:p>
            <w:pPr>
              <w:pStyle w:val="Czesc"/>
              <w:widowControl w:val="false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(art.513348)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widowControl w:val="false"/>
              <w:jc w:val="righ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widowControl w:val="false"/>
              <w:jc w:val="righ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widowControl w:val="false"/>
              <w:jc w:val="righ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7 768,20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widowControl w:val="false"/>
              <w:jc w:val="righ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widowControl w:val="false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666 668,20</w:t>
            </w:r>
          </w:p>
        </w:tc>
      </w:tr>
    </w:tbl>
    <w:p>
      <w:pPr>
        <w:pStyle w:val="Opis"/>
        <w:rPr/>
      </w:pPr>
      <w:r>
        <w:rPr/>
        <w:t>wentylator szarpiący przystosowany do odsysu odpadów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 xml:space="preserve">    </w:t>
      </w:r>
      <w:r>
        <w:rPr/>
        <w:t>tektury falistej i papieru. Stabilna, spawana obudowa, gruntowana i lakierowana.</w:t>
      </w:r>
    </w:p>
    <w:p>
      <w:pPr>
        <w:pStyle w:val="Opis"/>
        <w:rPr/>
      </w:pPr>
      <w:r>
        <w:rPr/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</w:r>
    </w:p>
    <w:p>
      <w:pPr>
        <w:pStyle w:val="Opis"/>
        <w:rPr/>
      </w:pPr>
      <w:r>
        <w:rPr/>
        <w:t>Dostawa obejmuje króćce wlotowe i wylotowe z kołnierzami.</w:t>
      </w:r>
    </w:p>
    <w:p>
      <w:pPr>
        <w:pStyle w:val="Opis"/>
        <w:rPr/>
      </w:pPr>
      <w:r>
        <w:rPr/>
        <w:t>Ze względu na zagrożenie wybuchem wentylator nie jest przystosowany do transportu materiałów pylistych &lt; 500 µm o stężeniu &gt; 20 g/m3.</w:t>
      </w:r>
    </w:p>
    <w:p>
      <w:pPr>
        <w:pStyle w:val="Opis"/>
        <w:rPr/>
      </w:pPr>
      <w:r>
        <w:rP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Króćce na wlocie i wylocie: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350 mm</w:t>
            </w:r>
          </w:p>
        </w:tc>
      </w:tr>
    </w:tbl>
    <w:p>
      <w:pPr>
        <w:pStyle w:val="Podsumowanie"/>
        <w:widowControl/>
        <w:bidi w:val="0"/>
        <w:spacing w:before="0" w:after="0"/>
        <w:rPr/>
      </w:pPr>
      <w:r>
        <w:rPr>
          <w:sz w:val="24"/>
          <w:szCs w:val="24"/>
        </w:rPr>
        <w:t>${summary}</w:t>
      </w:r>
    </w:p>
    <w:p>
      <w:pPr>
        <w:pStyle w:val="Podsumowanie"/>
        <w:widowControl/>
        <w:bidi w:val="0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Wstep"/>
        <w:ind w:left="1440" w:right="0" w:hanging="1440"/>
        <w:rPr/>
      </w:pPr>
      <w:r>
        <w:rPr/>
        <w:t>PODSUMOWANIE WG GRUP PRODUKTÓW</w:t>
      </w:r>
    </w:p>
    <w:p>
      <w:pPr>
        <w:pStyle w:val="Podsumowanie"/>
        <w:widowControl/>
        <w:bidi w:val="0"/>
        <w:spacing w:before="0" w:after="0"/>
        <w:rPr/>
      </w:pPr>
      <w:r>
        <w:rPr>
          <w:sz w:val="24"/>
          <w:szCs w:val="24"/>
        </w:rPr>
        <w:t>${none}</w:t>
      </w:r>
    </w:p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279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widowControl w:val="false"/>
              <w:jc w:val="left"/>
              <w:rPr/>
            </w:pPr>
            <w:r>
              <w:rPr/>
              <w:t>952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widowControl w:val="false"/>
              <w:rPr/>
            </w:pPr>
            <w:r>
              <w:rPr/>
              <w:t>Przyłącze nr 1 do tekturnicy (tektura dwuwarstwowa).</w:t>
            </w:r>
          </w:p>
        </w:tc>
        <w:tc>
          <w:tcPr>
            <w:tcW w:w="629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1666 668,20</w:t>
            </w:r>
          </w:p>
        </w:tc>
      </w:tr>
    </w:tbl>
    <w:p>
      <w:pPr>
        <w:pStyle w:val="Normal"/>
        <w:keepNext w:val="false"/>
        <w:widowControl/>
        <w:suppressAutoHyphens w:val="true"/>
        <w:overflowPunct w:val="true"/>
        <w:bidi w:val="0"/>
        <w:spacing w:before="0" w:after="0"/>
        <w:ind w:left="720" w:right="0" w:hanging="0"/>
        <w:rPr>
          <w:lang w:val="pl-PL"/>
        </w:rPr>
      </w:pPr>
      <w:r>
        <w:rPr>
          <w:lang w:val="pl-PL"/>
        </w:rPr>
      </w:r>
    </w:p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630"/>
        <w:gridCol w:w="1260"/>
      </w:tblGrid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łączna wartość netto ex works Hilter, Niemcy: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${price}</w:t>
            </w:r>
          </w:p>
        </w:tc>
      </w:tr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uzgodniony rabat: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${discount}</w:t>
            </w:r>
          </w:p>
        </w:tc>
      </w:tr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do zapłaty: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${total}</w:t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before="0" w:after="0"/>
        <w:ind w:left="72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720" w:right="0" w:hanging="0"/>
        <w:rPr>
          <w:lang w:val="pl-PL"/>
        </w:rPr>
      </w:pPr>
      <w:r>
        <w:rPr>
          <w:lang w:val="pl-PL"/>
        </w:rPr>
        <w:t>${payment}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tabs>
          <w:tab w:val="clear" w:pos="720"/>
        </w:tabs>
        <w:suppressAutoHyphens w:val="true"/>
        <w:overflowPunct w:val="true"/>
        <w:bidi w:val="0"/>
        <w:spacing w:before="0" w:after="0"/>
        <w:ind w:left="720" w:right="0" w:hanging="720"/>
        <w:jc w:val="left"/>
        <w:rPr/>
      </w:pPr>
      <w:r>
        <w:rPr>
          <w:u w:val="single"/>
        </w:rPr>
        <w:t xml:space="preserve">Cena netto: </w:t>
      </w:r>
      <w:r>
        <w:rPr/>
        <w:t>${total}</w:t>
        <w:br/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Walutą rozliczeń i zapłaty jest EUR. dla potrzeb podatku VAT faktury zaliczkowe oraz faktura końcowa zostaną, przeliczone na PLN, zgodnie z obowiązującymi przepisami ustawy o podatku VAT, według średniego kursu NBP z dnia poprzedzającego dzień wystawienia faktury VAT;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lang w:val="pl-PL"/>
        </w:rPr>
        <w:t>${footer}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ind w:left="1440" w:right="0" w:hanging="1440"/>
        <w:rPr/>
      </w:pPr>
      <w:r>
        <w:rPr>
          <w:u w:val="single"/>
        </w:rPr>
        <w:t xml:space="preserve">Baza dostawy: </w:t>
      </w:r>
      <w:r>
        <w:rPr/>
        <w:t>ex works Hilter Niemcy; cena nie zawiera kosztu dostawy na miejsce przeznaczenia (faktyczne koszty dostawy będą refakturowane, zgodnie z fakturą przewoźnika).</w:t>
      </w:r>
    </w:p>
    <w:p>
      <w:pPr>
        <w:pStyle w:val="Normal"/>
        <w:ind w:left="1440" w:right="0" w:hanging="1440"/>
        <w:rPr/>
      </w:pPr>
      <w:r>
        <w:rPr/>
        <w:tab/>
      </w:r>
    </w:p>
    <w:p>
      <w:pPr>
        <w:pStyle w:val="Normal"/>
        <w:ind w:left="1440" w:right="0" w:hanging="1440"/>
        <w:rPr/>
      </w:pPr>
      <w:r>
        <w:rPr/>
      </w:r>
    </w:p>
    <w:p>
      <w:pPr>
        <w:pStyle w:val="Normal"/>
        <w:ind w:left="1440" w:right="0" w:hanging="1440"/>
        <w:rPr/>
      </w:pPr>
      <w:r>
        <w:rPr>
          <w:u w:val="single"/>
        </w:rPr>
        <w:t xml:space="preserve">Płatność: </w:t>
      </w:r>
      <w:r>
        <w:rPr/>
        <w:t>do uzgodnienia</w:t>
      </w:r>
    </w:p>
    <w:p>
      <w:pPr>
        <w:pStyle w:val="Normal"/>
        <w:ind w:left="1440" w:right="0" w:hanging="1440"/>
        <w:rPr/>
      </w:pPr>
      <w:r>
        <w:rPr/>
      </w:r>
    </w:p>
    <w:p>
      <w:pPr>
        <w:pStyle w:val="Normal"/>
        <w:ind w:left="1440" w:right="0" w:hanging="1440"/>
        <w:rPr/>
      </w:pPr>
      <w:r>
        <w:rPr/>
        <w:tab/>
        <w:tab/>
      </w:r>
    </w:p>
    <w:p>
      <w:pPr>
        <w:pStyle w:val="Normal"/>
        <w:ind w:left="1440" w:right="0" w:hanging="1440"/>
        <w:rPr/>
      </w:pPr>
      <w:r>
        <w:rPr>
          <w:u w:val="single"/>
        </w:rPr>
        <w:t xml:space="preserve">Termin dostawy: </w:t>
      </w:r>
      <w:r>
        <w:rPr/>
        <w:t>ca 18 tygodni od dnia otrzymania zamówienia;</w:t>
      </w:r>
    </w:p>
    <w:p>
      <w:pPr>
        <w:pStyle w:val="Normal"/>
        <w:ind w:left="1440" w:right="0" w:hanging="1440"/>
        <w:rPr/>
      </w:pPr>
      <w:r>
        <w:rPr/>
        <w:tab/>
        <w:t>(z zastrzeżeniem szczególnych okoliczności, które mogą spowodować opóźnienie);</w:t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Gwarancja: </w:t>
      </w:r>
      <w:r>
        <w:rPr/>
        <w:t>12 miesięcy od dnia uruchomienia; gwarancja nie obejmuje części zużywających się w sposób naturalny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 xml:space="preserve">Ważność oferty: </w:t>
      </w:r>
      <w:r>
        <w:rPr/>
        <w:t>oferta jest ważna do 30. kwietnia 2022 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Po stronie klienta: </w:t>
      </w:r>
      <w:r>
        <w:rPr/>
        <w:t xml:space="preserve">wykonanie i zamknięcie niezbędnych otworów montażowych (jeśli potrzebne), 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ab/>
      </w:r>
      <w:r>
        <w:rPr/>
        <w:t>przygotowanie potrzebnych fundamentów, ułożenie potrzebnych kabli elektrycznych i</w:t>
        <w:br/>
        <w:t xml:space="preserve">doprowadzenie sprężonego powietrza według wskazówek dostawcy, doprowadzenie </w:t>
      </w:r>
    </w:p>
    <w:p>
      <w:pPr>
        <w:pStyle w:val="Normal"/>
        <w:rPr/>
      </w:pPr>
      <w:r>
        <w:rPr/>
        <w:t xml:space="preserve">                             </w:t>
      </w:r>
      <w:r>
        <w:rPr/>
        <w:t>zasilania do dostarczonych urządzeń, urządzenia podnośnikowe na czas montażu.</w:t>
      </w:r>
    </w:p>
    <w:p>
      <w:pPr>
        <w:pStyle w:val="Normal"/>
        <w:rPr/>
      </w:pPr>
      <w:r>
        <w:rPr/>
      </w:r>
    </w:p>
    <w:p>
      <w:pPr>
        <w:pStyle w:val="Zakonczenie"/>
        <w:rPr/>
      </w:pPr>
      <w:r>
        <w:rPr>
          <w:u w:val="single"/>
        </w:rPr>
        <w:t>Uwaga:</w:t>
      </w:r>
      <w:r>
        <w:rPr/>
        <w:t xml:space="preserve"> do zakresu naszego zlecenia należą wyłącznie urządzenia, elementy i usługi ujęte w ofercie. </w:t>
      </w:r>
    </w:p>
    <w:p>
      <w:pPr>
        <w:pStyle w:val="Zakonczenie"/>
        <w:keepNext w:val="false"/>
        <w:widowControl/>
        <w:suppressAutoHyphens w:val="true"/>
        <w:overflowPunct w:val="true"/>
        <w:bidi w:val="0"/>
        <w:spacing w:before="0" w:after="240"/>
        <w:ind w:left="0" w:right="0" w:hanging="0"/>
        <w:jc w:val="both"/>
        <w:rPr/>
      </w:pPr>
      <w:r>
        <w:rPr/>
        <w:t xml:space="preserve">Zmiany w zakresie dostaw i usług wprowadzone przez zleceniodawcę lub zwiększenie wydajności z powodu </w:t>
      </w: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zmian technicznych będą fakturowane dodatkowo. Dotyczy to również zwiększenia wydajności i zmian dostarczonych już gotowych urządzeń.</w:t>
      </w:r>
    </w:p>
    <w:p>
      <w:pPr>
        <w:pStyle w:val="Zakonczenie"/>
        <w:rPr/>
      </w:pPr>
      <w:r>
        <w:rPr/>
        <w:t>Ewentualne, wymagane do wstawienia urządzeń, zezwolenia budowlane musi uzyskać zleceniodawca. Takich informacji udziela właściwy urząd nadzoru budowlanego.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Mamy nadzieję, że powyższa oferta odpowiada Pańskim wymaganiom.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 poważaniem,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Bartłomiej Jarmul</w:t>
      </w:r>
    </w:p>
    <w:p>
      <w:pPr>
        <w:pStyle w:val="Odstepczesci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3124" w:footer="709" w:bottom="266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pacing w:lineRule="auto" w:line="19"/>
      <w:rPr/>
    </w:pPr>
    <w:r>
      <w:rPr/>
      <w:drawing>
        <wp:inline distT="0" distB="0" distL="0" distR="0">
          <wp:extent cx="5753100" cy="28575"/>
          <wp:effectExtent l="0" t="0" r="0" b="0"/>
          <wp:docPr id="3" name="Obraz 29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29" descr="AustrowarenFoot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opka"/>
      <w:spacing w:lineRule="auto" w:line="192"/>
      <w:rPr>
        <w:sz w:val="16"/>
      </w:rPr>
    </w:pPr>
    <w:r>
      <w:rPr>
        <w:sz w:val="16"/>
      </w:rPr>
    </w:r>
  </w:p>
  <w:p>
    <w:pPr>
      <w:pStyle w:val="Stopka"/>
      <w:spacing w:lineRule="auto" w:line="192"/>
      <w:rPr>
        <w:sz w:val="16"/>
      </w:rPr>
    </w:pPr>
    <w:r>
      <w:rPr>
        <w:sz w:val="16"/>
      </w:rPr>
      <w:t xml:space="preserve">Krajowy Rejestr Sądowy, numer KRS: 0000134375, NIP: PL 123-03-84-111,  Regon: 012209498             </w:t>
    </w:r>
  </w:p>
  <w:p>
    <w:pPr>
      <w:pStyle w:val="Stopka"/>
      <w:spacing w:lineRule="auto" w:line="192"/>
      <w:rPr/>
    </w:pPr>
    <w:r>
      <w:rPr>
        <w:sz w:val="16"/>
      </w:rPr>
      <w:t>Zarząd: Bartłomiej Jarmul. Kapitał zakładowy: PLN 100.000.-</w:t>
    </w:r>
    <w:r>
      <w:rPr/>
      <w:t xml:space="preserve">                                                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>
    <w:pPr>
      <w:pStyle w:val="Stopka"/>
      <w:rPr>
        <w:sz w:val="16"/>
      </w:rPr>
    </w:pPr>
    <w:r>
      <w:rPr>
        <w:sz w:val="16"/>
      </w:rPr>
      <w:t xml:space="preserve">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inline distT="0" distB="0" distL="0" distR="0">
          <wp:extent cx="5762625" cy="323850"/>
          <wp:effectExtent l="0" t="0" r="0" b="0"/>
          <wp:docPr id="1" name="Obraz 5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5" descr="AustrowarenHead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Gwka"/>
      <w:spacing w:lineRule="auto" w:line="192"/>
      <w:jc w:val="right"/>
      <w:rPr/>
    </w:pPr>
    <w:r>
      <w:drawing>
        <wp:anchor behindDoc="0" distT="0" distB="0" distL="114300" distR="114300" simplePos="0" locked="0" layoutInCell="0" allowOverlap="1" relativeHeight="10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80" cy="752475"/>
          <wp:effectExtent l="0" t="0" r="0" b="0"/>
          <wp:wrapTight wrapText="bothSides">
            <wp:wrapPolygon edited="0">
              <wp:start x="2316" y="0"/>
              <wp:lineTo x="-53" y="0"/>
              <wp:lineTo x="-53" y="15778"/>
              <wp:lineTo x="5440" y="16286"/>
              <wp:lineTo x="6786" y="19595"/>
              <wp:lineTo x="7110" y="19595"/>
              <wp:lineTo x="9210" y="19595"/>
              <wp:lineTo x="9534" y="19595"/>
              <wp:lineTo x="12658" y="16286"/>
              <wp:lineTo x="19176" y="16286"/>
              <wp:lineTo x="20198" y="14674"/>
              <wp:lineTo x="20576" y="2119"/>
              <wp:lineTo x="20576" y="0"/>
              <wp:lineTo x="7110" y="0"/>
              <wp:lineTo x="2316" y="0"/>
            </wp:wrapPolygon>
          </wp:wrapTight>
          <wp:docPr id="2" name="Obraz 6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6" descr="Hocker heade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sz w:val="16"/>
      </w:rPr>
      <w:t>AUSTROWAREN POLSKA</w:t>
    </w:r>
    <w:r>
      <w:rPr>
        <w:sz w:val="16"/>
      </w:rPr>
      <w:t xml:space="preserve"> Spółka z o. o.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ul. Nowa 23, Stara Iwiczna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05-500 Piaseczno</w:t>
      <w:br/>
      <w:t xml:space="preserve">                                                                                                 Tel.: (+48-22) 701 70 90 do 99</w:t>
      <w:br/>
      <w:t xml:space="preserve">                                           Fax.:(+48-22) 750 62 57</w:t>
    </w:r>
  </w:p>
  <w:p>
    <w:pPr>
      <w:pStyle w:val="Gwka"/>
      <w:jc w:val="right"/>
      <w:rPr>
        <w:sz w:val="16"/>
        <w:lang w:val="de-DE"/>
      </w:rPr>
    </w:pPr>
    <w:r>
      <w:rPr>
        <w:sz w:val="16"/>
        <w:lang w:val="de-DE"/>
      </w:rPr>
      <w:t>E-mail: austrowaren@austrowaren.com.pl</w:t>
    </w:r>
  </w:p>
  <w:p>
    <w:pPr>
      <w:pStyle w:val="Gwka"/>
      <w:rPr>
        <w:lang w:val="de-DE"/>
      </w:rPr>
    </w:pPr>
    <w:r>
      <w:rPr>
        <w:lang w:val="de-DE"/>
      </w:rPr>
    </w:r>
  </w:p>
  <w:p>
    <w:pPr>
      <w:pStyle w:val="Gwka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autoRedefine/>
    <w:qFormat/>
    <w:pPr>
      <w:keepNext w:val="false"/>
      <w:widowControl/>
      <w:suppressAutoHyphens w:val="true"/>
      <w:overflowPunct w:val="true"/>
      <w:bidi w:val="0"/>
      <w:spacing w:before="0" w:after="0"/>
      <w:ind w:left="1440" w:right="0" w:hanging="14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>
    <w:name w:val="Default Paragraph Font"/>
    <w:qFormat/>
    <w:rPr/>
  </w:style>
  <w:style w:type="character" w:styleId="GroupId">
    <w:name w:val="groupId"/>
    <w:qFormat/>
    <w:rPr>
      <w:strike w:val="false"/>
      <w:dstrike w:val="false"/>
      <w:vanish/>
      <w:color w:val="FF0000"/>
      <w:position w:val="0"/>
      <w:sz w:val="20"/>
      <w:sz w:val="20"/>
      <w:vertAlign w:val="baseline"/>
    </w:rPr>
  </w:style>
  <w:style w:type="character" w:styleId="TekstdymkaZnak">
    <w:name w:val="Tekst dymka Znak"/>
    <w:basedOn w:val="DefaultParagraphFont"/>
    <w:qFormat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odsystem">
    <w:name w:val="podsystem"/>
    <w:basedOn w:val="Normal"/>
    <w:next w:val="Normal"/>
    <w:autoRedefine/>
    <w:qFormat/>
    <w:pPr>
      <w:keepNext w:val="true"/>
      <w:numPr>
        <w:ilvl w:val="0"/>
        <w:numId w:val="0"/>
      </w:numPr>
      <w:ind w:left="510" w:right="0" w:hanging="0"/>
      <w:jc w:val="right"/>
      <w:outlineLvl w:val="0"/>
    </w:pPr>
    <w:rPr>
      <w:b/>
      <w:sz w:val="24"/>
    </w:rPr>
  </w:style>
  <w:style w:type="paragraph" w:styleId="Czesc">
    <w:name w:val="czesc"/>
    <w:basedOn w:val="Normal"/>
    <w:qFormat/>
    <w:pPr>
      <w:keepNext w:val="false"/>
      <w:widowControl/>
      <w:suppressAutoHyphens w:val="true"/>
      <w:overflowPunct w:val="true"/>
      <w:bidi w:val="0"/>
      <w:spacing w:before="0" w:after="0"/>
      <w:ind w:left="0" w:right="0" w:hanging="0"/>
      <w:jc w:val="left"/>
    </w:pPr>
    <w:rPr/>
  </w:style>
  <w:style w:type="paragraph" w:styleId="Parametr">
    <w:name w:val="parametr"/>
    <w:basedOn w:val="Normal"/>
    <w:autoRedefine/>
    <w:qFormat/>
    <w:pPr/>
    <w:rPr/>
  </w:style>
  <w:style w:type="paragraph" w:styleId="Opis">
    <w:name w:val="opis"/>
    <w:basedOn w:val="Normal"/>
    <w:autoRedefine/>
    <w:qFormat/>
    <w:pPr>
      <w:widowControl/>
      <w:suppressAutoHyphens w:val="true"/>
      <w:overflowPunct w:val="true"/>
      <w:bidi w:val="0"/>
      <w:spacing w:before="0" w:after="0"/>
      <w:ind w:left="540" w:right="1800" w:hanging="0"/>
      <w:jc w:val="both"/>
    </w:pPr>
    <w:rPr/>
  </w:style>
  <w:style w:type="paragraph" w:styleId="Wstep">
    <w:name w:val="wstep"/>
    <w:basedOn w:val="Normal"/>
    <w:autoRedefine/>
    <w:qFormat/>
    <w:pPr>
      <w:numPr>
        <w:ilvl w:val="0"/>
        <w:numId w:val="0"/>
      </w:numPr>
      <w:ind w:left="1440" w:right="0" w:hanging="1440"/>
      <w:jc w:val="center"/>
      <w:outlineLvl w:val="0"/>
    </w:pPr>
    <w:rPr>
      <w:sz w:val="24"/>
    </w:rPr>
  </w:style>
  <w:style w:type="paragraph" w:styleId="Zakonczenie">
    <w:name w:val="zakonczenie"/>
    <w:basedOn w:val="Normal"/>
    <w:autoRedefine/>
    <w:qFormat/>
    <w:pPr>
      <w:keepNext w:val="false"/>
      <w:widowControl/>
      <w:suppressAutoHyphens w:val="true"/>
      <w:overflowPunct w:val="true"/>
      <w:bidi w:val="0"/>
      <w:spacing w:before="0" w:after="240"/>
      <w:ind w:left="0" w:right="0" w:hanging="0"/>
      <w:jc w:val="both"/>
    </w:pPr>
    <w:rPr/>
  </w:style>
  <w:style w:type="paragraph" w:styleId="Zakonczeniewyliczenie">
    <w:name w:val="zakonczenie_wyliczenie"/>
    <w:basedOn w:val="Zakonczenie"/>
    <w:autoRedefine/>
    <w:qFormat/>
    <w:pPr>
      <w:numPr>
        <w:ilvl w:val="0"/>
        <w:numId w:val="1"/>
      </w:numPr>
      <w:spacing w:before="0" w:after="0"/>
    </w:pPr>
    <w:rPr/>
  </w:style>
  <w:style w:type="paragraph" w:styleId="Podsumowania">
    <w:name w:val="podsumowania"/>
    <w:basedOn w:val="Normal"/>
    <w:qFormat/>
    <w:pPr>
      <w:spacing w:before="240" w:after="120"/>
      <w:jc w:val="both"/>
    </w:pPr>
    <w:rPr>
      <w:b/>
      <w:caps/>
    </w:rPr>
  </w:style>
  <w:style w:type="paragraph" w:styleId="Podsumowanie">
    <w:name w:val="podsumowanie"/>
    <w:basedOn w:val="Normal"/>
    <w:qFormat/>
    <w:pPr/>
    <w:rPr/>
  </w:style>
  <w:style w:type="paragraph" w:styleId="Adres">
    <w:name w:val="Adres"/>
    <w:basedOn w:val="Normal"/>
    <w:qFormat/>
    <w:pPr/>
    <w:rPr>
      <w:sz w:val="24"/>
    </w:rPr>
  </w:style>
  <w:style w:type="paragraph" w:styleId="Odstepczesci">
    <w:name w:val="odstep_czesci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Data">
    <w:name w:val="data"/>
    <w:basedOn w:val="Adres"/>
    <w:qFormat/>
    <w:pPr>
      <w:jc w:val="right"/>
    </w:pPr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Komentarz">
    <w:name w:val="komentarz"/>
    <w:basedOn w:val="Normal"/>
    <w:qFormat/>
    <w:pPr>
      <w:widowControl/>
      <w:suppressAutoHyphens w:val="true"/>
      <w:overflowPunct w:val="true"/>
      <w:bidi w:val="0"/>
      <w:spacing w:before="0" w:after="0"/>
      <w:ind w:left="1529" w:right="0" w:hanging="0"/>
      <w:jc w:val="left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24928</TotalTime>
  <Application>LibreOffice/7.4.1.2$Windows_X86_64 LibreOffice_project/3c58a8f3a960df8bc8fd77b461821e42c061c5f0</Application>
  <AppVersion>15.0000</AppVersion>
  <Pages>3</Pages>
  <Words>480</Words>
  <Characters>3046</Characters>
  <CharactersWithSpaces>3796</CharactersWithSpaces>
  <Paragraphs>75</Paragraphs>
  <Company>cartman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2022-02-07T11:37:00Z</dcterms:created>
  <dc:creator>user</dc:creator>
  <dc:description/>
  <dc:language>en-US</dc:language>
  <cp:lastModifiedBy/>
  <dcterms:modified xsi:type="dcterms:W3CDTF">2023-01-29T15:18:06Z</dcterms:modified>
  <cp:revision>130</cp:revision>
  <dc:subject/>
  <dc:title>Arctic Paper Kostrzyn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