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b/>
          <w:color w:val="1F3864"/>
          <w:sz w:val="44"/>
        </w:rPr>
        <w:t>Supplementary Methods</w:t>
      </w:r>
    </w:p>
    <w:p>
      <w:pPr>
        <w:spacing w:after="160"/>
        <w:jc w:val="center"/>
      </w:pPr>
      <w:r>
        <w:rPr>
          <w:color w:val="2E5C8A"/>
          <w:sz w:val="30"/>
        </w:rPr>
        <w:t>Complete Algorithmic Specification of the COMPASS Platform</w:t>
      </w:r>
    </w:p>
    <w:p>
      <w:pPr>
        <w:spacing w:after="400"/>
        <w:jc w:val="center"/>
      </w:pPr>
      <w:r>
        <w:rPr>
          <w:i/>
          <w:color w:val="555555"/>
          <w:sz w:val="22"/>
        </w:rPr>
        <w:t>Companion document to: COMPASS manuscript, npj Digital Medicine</w:t>
      </w:r>
    </w:p>
    <w:p>
      <w:pPr>
        <w:jc w:val="center"/>
        <w:pBdr>
          <w:top w:val="single" w:sz="6" w:color="2E5C8A"/>
        </w:pBdr>
      </w:pPr>
    </w:p>
    <w:p>
      <w:pPr>
        <w:spacing w:before="400"/>
      </w:pPr>
      <w:r>
        <w:rPr>
          <w:b/>
          <w:color w:val="1F3864"/>
          <w:sz w:val="26"/>
        </w:rPr>
        <w:t>Contents</w:t>
      </w:r>
    </w:p>
    <w:p>
      <w:pPr>
        <w:spacing w:after="40"/>
        <w:ind w:left="567"/>
      </w:pPr>
      <w:r>
        <w:rPr>
          <w:b/>
          <w:color w:val="1F3864"/>
          <w:sz w:val="22"/>
        </w:rPr>
        <w:t xml:space="preserve">M1. </w:t>
      </w:r>
      <w:r>
        <w:rPr>
          <w:sz w:val="22"/>
        </w:rPr>
        <w:t>CLEO Framework, Clinical · Lifestyle · Exposome · Occupational</w:t>
      </w:r>
    </w:p>
    <w:p>
      <w:pPr>
        <w:spacing w:after="40"/>
        <w:ind w:left="567"/>
      </w:pPr>
      <w:r>
        <w:rPr>
          <w:b/>
          <w:color w:val="1F3864"/>
          <w:sz w:val="22"/>
        </w:rPr>
        <w:t xml:space="preserve">M2. </w:t>
      </w:r>
      <w:r>
        <w:rPr>
          <w:sz w:val="22"/>
        </w:rPr>
        <w:t>bioNorm Module, 18 biological indicators with adaptive z-score</w:t>
      </w:r>
    </w:p>
    <w:p>
      <w:pPr>
        <w:spacing w:after="40"/>
        <w:ind w:left="567"/>
      </w:pPr>
      <w:r>
        <w:rPr>
          <w:b/>
          <w:color w:val="1F3864"/>
          <w:sz w:val="22"/>
        </w:rPr>
        <w:t xml:space="preserve">M3. </w:t>
      </w:r>
      <w:r>
        <w:rPr>
          <w:sz w:val="22"/>
        </w:rPr>
        <w:t>Dynamic Weighting Logic, w_Decl, w_Bio, safety floors</w:t>
      </w:r>
    </w:p>
    <w:p>
      <w:pPr>
        <w:spacing w:after="40"/>
        <w:ind w:left="567"/>
      </w:pPr>
      <w:r>
        <w:rPr>
          <w:b/>
          <w:color w:val="1F3864"/>
          <w:sz w:val="22"/>
        </w:rPr>
        <w:t xml:space="preserve">M4. </w:t>
      </w:r>
      <w:r>
        <w:rPr>
          <w:sz w:val="22"/>
        </w:rPr>
        <w:t>Chronicity Trajectory Index (CTI), 7 factors</w:t>
      </w:r>
    </w:p>
    <w:p>
      <w:pPr>
        <w:spacing w:after="40"/>
        <w:ind w:left="567"/>
      </w:pPr>
      <w:r>
        <w:rPr>
          <w:b/>
          <w:color w:val="1F3864"/>
          <w:sz w:val="22"/>
        </w:rPr>
        <w:t xml:space="preserve">M5. </w:t>
      </w:r>
      <w:r>
        <w:rPr>
          <w:sz w:val="22"/>
        </w:rPr>
        <w:t>7-Axis GLP-1 Response Score (GRS), full per-axis scoring</w:t>
      </w:r>
    </w:p>
    <w:p>
      <w:pPr>
        <w:spacing w:after="40"/>
        <w:ind w:left="567"/>
      </w:pPr>
      <w:r>
        <w:rPr>
          <w:b/>
          <w:color w:val="1F3864"/>
          <w:sz w:val="22"/>
        </w:rPr>
        <w:t xml:space="preserve">M6. </w:t>
      </w:r>
      <w:r>
        <w:rPr>
          <w:sz w:val="22"/>
        </w:rPr>
        <w:t>Bariatric-Therapeutic Module (BTM), 27 × 6 decision matrix</w:t>
      </w:r>
    </w:p>
    <w:p>
      <w:pPr>
        <w:spacing w:after="40"/>
        <w:ind w:left="567"/>
      </w:pPr>
      <w:r>
        <w:rPr>
          <w:b/>
          <w:color w:val="1F3864"/>
          <w:sz w:val="22"/>
        </w:rPr>
        <w:t xml:space="preserve">M7. </w:t>
      </w:r>
      <w:r>
        <w:rPr>
          <w:sz w:val="22"/>
        </w:rPr>
        <w:t>10-Year Markov Trajectory Projection, transition probabilities</w:t>
      </w:r>
    </w:p>
    <w:p>
      <w:pPr>
        <w:spacing w:after="40"/>
        <w:ind w:left="567"/>
      </w:pPr>
      <w:r>
        <w:rPr>
          <w:b/>
          <w:color w:val="1F3864"/>
          <w:sz w:val="22"/>
        </w:rPr>
        <w:t xml:space="preserve">M8. </w:t>
      </w:r>
      <w:r>
        <w:rPr>
          <w:sz w:val="22"/>
        </w:rPr>
        <w:t>Climatic Normalisation Factor (FNC), 6 Köppen zone modulation</w:t>
      </w:r>
    </w:p>
    <w:p>
      <w:pPr>
        <w:spacing w:after="40"/>
        <w:ind w:left="567"/>
      </w:pPr>
      <w:r>
        <w:rPr>
          <w:b/>
          <w:color w:val="1F3864"/>
          <w:sz w:val="22"/>
        </w:rPr>
        <w:t xml:space="preserve">M9. </w:t>
      </w:r>
      <w:r>
        <w:rPr>
          <w:sz w:val="22"/>
        </w:rPr>
        <w:t>Anti-circularity Safeguards, design verification</w:t>
      </w:r>
    </w:p>
    <w:p>
      <w:pPr>
        <w:spacing w:before="400"/>
      </w:pPr>
      <w:r>
        <w:rPr>
          <w:b/>
          <w:sz w:val="20"/>
        </w:rPr>
        <w:t xml:space="preserve">Notation note. </w:t>
      </w:r>
      <w:r>
        <w:rPr>
          <w:i/>
          <w:sz w:val="20"/>
        </w:rPr>
        <w:t>This document is referred to in the manuscript as ‘Supplementary Methods’. It is distinct from the four numbered supplementary tables (Suppl. Tables S1–S4) and the three supplementary figures (Suppl. Figures S1–S3) that accompany the manuscript. All algorithmic constants in this document are deterministic and reproducible from the open-source implementation at https://github.com/stefbach/score-bmn-v3 (MIT licence; seed = 42 throughout).</w:t>
      </w:r>
    </w:p>
    <w:p>
      <w:r>
        <w:br w:type="page"/>
      </w:r>
    </w:p>
    <w:p>
      <w:pPr>
        <w:keepNext/>
        <w:spacing w:before="360" w:after="160"/>
      </w:pPr>
      <w:r>
        <w:rPr>
          <w:b/>
          <w:color w:val="1F3864"/>
          <w:sz w:val="28"/>
        </w:rPr>
        <w:t>M1. CLEO Framework. Declarative Score (sD: 0–100)</w:t>
      </w:r>
    </w:p>
    <w:p>
      <w:pPr>
        <w:jc w:val="both"/>
      </w:pPr>
      <w:r>
        <w:rPr>
          <w:b w:val="0"/>
          <w:i w:val="0"/>
        </w:rPr>
        <w:t>The CLEO declarative score quantifies clinical and behavioural risk from questionnaire input and physical examination data. Four orthogonal domains contribute additively to sD ∈ [0, 100]:</w:t>
      </w:r>
    </w:p>
    <w:p>
      <w:pPr>
        <w:spacing w:before="160" w:after="160"/>
        <w:jc w:val="center"/>
      </w:pPr>
      <w:r>
        <w:rPr>
          <w:rFonts w:ascii="Courier New" w:hAnsi="Courier New"/>
          <w:color w:val="1A1A1A"/>
          <w:sz w:val="20"/>
        </w:rPr>
        <w:t>sD = C (0–50) + L (0–10) + E (0–45) + O (0–10)  →  capped at 100</w:t>
      </w:r>
    </w:p>
    <w:tbl>
      <w:tblPr>
        <w:tblW w:type="auto" w:w="0"/>
        <w:tblLayout w:type="fixed"/>
        <w:tblLook w:firstColumn="1" w:firstRow="1" w:lastColumn="0" w:lastRow="0" w:noHBand="0" w:noVBand="1" w:val="04A0"/>
      </w:tblPr>
      <w:tblGrid>
        <w:gridCol w:w="9972"/>
      </w:tblGrid>
      <w:tr>
        <w:tc>
          <w:tcPr>
            <w:tcW w:type="dxa" w:w="9638"/>
            <w:shd w:val="clear" w:color="auto" w:fill="EBF4FB"/>
          </w:tcPr>
          <w:p>
            <w:pPr>
              <w:spacing w:before="80" w:after="80"/>
            </w:pPr>
            <w:r/>
            <w:r>
              <w:rPr>
                <w:i/>
                <w:sz w:val="19"/>
              </w:rPr>
              <w:t>The notional ceiling (115) is intentionally above 100; capping reflects the observation that simultaneously maximising all four domains is clinically implausible (e.g. severe occupational risk concomitant with maximal lifestyle deterioration is rare). Truncation at 100 prevents arithmetic dominance of single-domain extreme values.</w:t>
            </w:r>
          </w:p>
        </w:tc>
      </w:tr>
    </w:tbl>
    <w:p/>
    <w:p>
      <w:pPr>
        <w:keepNext/>
        <w:spacing w:before="240" w:after="120"/>
      </w:pPr>
      <w:r>
        <w:rPr>
          <w:b/>
          <w:color w:val="2E5C8A"/>
          <w:sz w:val="24"/>
        </w:rPr>
        <w:t>M1.1, Clinical Domain (C, 0–50)</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2268"/>
            <w:shd w:val="clear" w:color="auto" w:fill="1F3864"/>
          </w:tcPr>
          <w:p>
            <w:pPr>
              <w:jc w:val="center"/>
            </w:pPr>
            <w:r/>
            <w:r>
              <w:rPr>
                <w:b/>
                <w:color w:val="FFFFFF"/>
                <w:sz w:val="18"/>
              </w:rPr>
              <w:t>Sub-component</w:t>
            </w:r>
          </w:p>
        </w:tc>
        <w:tc>
          <w:tcPr>
            <w:tcW w:type="dxa" w:w="850"/>
            <w:shd w:val="clear" w:color="auto" w:fill="1F3864"/>
          </w:tcPr>
          <w:p>
            <w:pPr>
              <w:jc w:val="center"/>
            </w:pPr>
            <w:r/>
            <w:r>
              <w:rPr>
                <w:b/>
                <w:color w:val="FFFFFF"/>
                <w:sz w:val="18"/>
              </w:rPr>
              <w:t>Range</w:t>
            </w:r>
          </w:p>
        </w:tc>
        <w:tc>
          <w:tcPr>
            <w:tcW w:type="dxa" w:w="4819"/>
            <w:shd w:val="clear" w:color="auto" w:fill="1F3864"/>
          </w:tcPr>
          <w:p>
            <w:pPr>
              <w:jc w:val="center"/>
            </w:pPr>
            <w:r/>
            <w:r>
              <w:rPr>
                <w:b/>
                <w:color w:val="FFFFFF"/>
                <w:sz w:val="18"/>
              </w:rPr>
              <w:t>Scoring rule</w:t>
            </w:r>
          </w:p>
        </w:tc>
        <w:tc>
          <w:tcPr>
            <w:tcW w:type="dxa" w:w="1701"/>
            <w:shd w:val="clear" w:color="auto" w:fill="1F3864"/>
          </w:tcPr>
          <w:p>
            <w:pPr>
              <w:jc w:val="center"/>
            </w:pPr>
            <w:r/>
            <w:r>
              <w:rPr>
                <w:b/>
                <w:color w:val="FFFFFF"/>
                <w:sz w:val="18"/>
              </w:rPr>
              <w:t>Reference</w:t>
            </w:r>
          </w:p>
        </w:tc>
      </w:tr>
      <w:tr>
        <w:tc>
          <w:tcPr>
            <w:tcW w:type="dxa" w:w="2268"/>
          </w:tcPr>
          <w:p>
            <w:r/>
            <w:r>
              <w:rPr>
                <w:b/>
                <w:sz w:val="18"/>
              </w:rPr>
              <w:t>Age (years)</w:t>
            </w:r>
          </w:p>
        </w:tc>
        <w:tc>
          <w:tcPr>
            <w:tcW w:type="dxa" w:w="850"/>
          </w:tcPr>
          <w:p>
            <w:r/>
            <w:r>
              <w:rPr>
                <w:sz w:val="18"/>
              </w:rPr>
              <w:t>0–8</w:t>
            </w:r>
          </w:p>
        </w:tc>
        <w:tc>
          <w:tcPr>
            <w:tcW w:type="dxa" w:w="4819"/>
          </w:tcPr>
          <w:p>
            <w:r/>
            <w:r>
              <w:rPr>
                <w:sz w:val="18"/>
              </w:rPr>
              <w:t>+0 (&lt;35); +2 (35–44); +4 (45–54); +6 (55–64); +8 (≥65)</w:t>
            </w:r>
          </w:p>
        </w:tc>
        <w:tc>
          <w:tcPr>
            <w:tcW w:type="dxa" w:w="1701"/>
          </w:tcPr>
          <w:p>
            <w:r/>
            <w:r>
              <w:rPr>
                <w:sz w:val="18"/>
              </w:rPr>
              <w:t>Framingham⁴</w:t>
            </w:r>
          </w:p>
        </w:tc>
      </w:tr>
      <w:tr>
        <w:tc>
          <w:tcPr>
            <w:tcW w:type="dxa" w:w="2268"/>
            <w:shd w:val="clear" w:color="auto" w:fill="F2F6FB"/>
          </w:tcPr>
          <w:p>
            <w:r/>
            <w:r>
              <w:rPr>
                <w:b/>
                <w:sz w:val="18"/>
              </w:rPr>
              <w:t>Sex × Waist circumference</w:t>
            </w:r>
          </w:p>
        </w:tc>
        <w:tc>
          <w:tcPr>
            <w:tcW w:type="dxa" w:w="850"/>
            <w:shd w:val="clear" w:color="auto" w:fill="F2F6FB"/>
          </w:tcPr>
          <w:p>
            <w:r/>
            <w:r>
              <w:rPr>
                <w:sz w:val="18"/>
              </w:rPr>
              <w:t>0–6</w:t>
            </w:r>
          </w:p>
        </w:tc>
        <w:tc>
          <w:tcPr>
            <w:tcW w:type="dxa" w:w="4819"/>
            <w:shd w:val="clear" w:color="auto" w:fill="F2F6FB"/>
          </w:tcPr>
          <w:p>
            <w:r/>
            <w:r>
              <w:rPr>
                <w:sz w:val="18"/>
              </w:rPr>
              <w:t>M: +0 (&lt;94 cm), +3 (94–101), +6 (≥102); F: +0 (&lt;80), +3 (80–87), +6 (≥88)</w:t>
            </w:r>
          </w:p>
        </w:tc>
        <w:tc>
          <w:tcPr>
            <w:tcW w:type="dxa" w:w="1701"/>
            <w:shd w:val="clear" w:color="auto" w:fill="F2F6FB"/>
          </w:tcPr>
          <w:p>
            <w:r/>
            <w:r>
              <w:rPr>
                <w:sz w:val="18"/>
              </w:rPr>
              <w:t>IDF 2006³⁴</w:t>
            </w:r>
          </w:p>
        </w:tc>
      </w:tr>
      <w:tr>
        <w:tc>
          <w:tcPr>
            <w:tcW w:type="dxa" w:w="2268"/>
          </w:tcPr>
          <w:p>
            <w:r/>
            <w:r>
              <w:rPr>
                <w:b/>
                <w:sz w:val="18"/>
              </w:rPr>
              <w:t>BMI category (ethnic-adjusted)</w:t>
            </w:r>
          </w:p>
        </w:tc>
        <w:tc>
          <w:tcPr>
            <w:tcW w:type="dxa" w:w="850"/>
          </w:tcPr>
          <w:p>
            <w:r/>
            <w:r>
              <w:rPr>
                <w:sz w:val="18"/>
              </w:rPr>
              <w:t>0–8</w:t>
            </w:r>
          </w:p>
        </w:tc>
        <w:tc>
          <w:tcPr>
            <w:tcW w:type="dxa" w:w="4819"/>
          </w:tcPr>
          <w:p>
            <w:r/>
            <w:r>
              <w:rPr>
                <w:sz w:val="18"/>
              </w:rPr>
              <w:t>+0 (&lt;27); +3 (27–29.9); +5 (30–34.9); +7 (35–39.9); +8 (≥40)</w:t>
            </w:r>
          </w:p>
        </w:tc>
        <w:tc>
          <w:tcPr>
            <w:tcW w:type="dxa" w:w="1701"/>
          </w:tcPr>
          <w:p>
            <w:r/>
            <w:r>
              <w:rPr>
                <w:sz w:val="18"/>
              </w:rPr>
              <w:t>IDF 2006³⁴</w:t>
            </w:r>
          </w:p>
        </w:tc>
      </w:tr>
      <w:tr>
        <w:tc>
          <w:tcPr>
            <w:tcW w:type="dxa" w:w="2268"/>
            <w:shd w:val="clear" w:color="auto" w:fill="F2F6FB"/>
          </w:tcPr>
          <w:p>
            <w:r/>
            <w:r>
              <w:rPr>
                <w:b/>
                <w:sz w:val="18"/>
              </w:rPr>
              <w:t>Comorbidity burden</w:t>
            </w:r>
          </w:p>
        </w:tc>
        <w:tc>
          <w:tcPr>
            <w:tcW w:type="dxa" w:w="850"/>
            <w:shd w:val="clear" w:color="auto" w:fill="F2F6FB"/>
          </w:tcPr>
          <w:p>
            <w:r/>
            <w:r>
              <w:rPr>
                <w:sz w:val="18"/>
              </w:rPr>
              <w:t>0–12</w:t>
            </w:r>
          </w:p>
        </w:tc>
        <w:tc>
          <w:tcPr>
            <w:tcW w:type="dxa" w:w="4819"/>
            <w:shd w:val="clear" w:color="auto" w:fill="F2F6FB"/>
          </w:tcPr>
          <w:p>
            <w:r/>
            <w:r>
              <w:rPr>
                <w:sz w:val="18"/>
              </w:rPr>
              <w:t>+3 per active condition: T2DM, hypertension, dyslipidaemia, OSA; max 12</w:t>
            </w:r>
          </w:p>
        </w:tc>
        <w:tc>
          <w:tcPr>
            <w:tcW w:type="dxa" w:w="1701"/>
            <w:shd w:val="clear" w:color="auto" w:fill="F2F6FB"/>
          </w:tcPr>
          <w:p>
            <w:r/>
            <w:r>
              <w:rPr>
                <w:sz w:val="18"/>
              </w:rPr>
              <w:t>Sharma &amp; Kushner³⁵</w:t>
            </w:r>
          </w:p>
        </w:tc>
      </w:tr>
      <w:tr>
        <w:tc>
          <w:tcPr>
            <w:tcW w:type="dxa" w:w="2268"/>
          </w:tcPr>
          <w:p>
            <w:r/>
            <w:r>
              <w:rPr>
                <w:b/>
                <w:sz w:val="18"/>
              </w:rPr>
              <w:t>Family history (1st degree)</w:t>
            </w:r>
          </w:p>
        </w:tc>
        <w:tc>
          <w:tcPr>
            <w:tcW w:type="dxa" w:w="850"/>
          </w:tcPr>
          <w:p>
            <w:r/>
            <w:r>
              <w:rPr>
                <w:sz w:val="18"/>
              </w:rPr>
              <w:t>0–4</w:t>
            </w:r>
          </w:p>
        </w:tc>
        <w:tc>
          <w:tcPr>
            <w:tcW w:type="dxa" w:w="4819"/>
          </w:tcPr>
          <w:p>
            <w:r/>
            <w:r>
              <w:rPr>
                <w:sz w:val="18"/>
              </w:rPr>
              <w:t>+1 per: T2DM, premature CVD, obesity, NAFLD; max 4</w:t>
            </w:r>
          </w:p>
        </w:tc>
        <w:tc>
          <w:tcPr>
            <w:tcW w:type="dxa" w:w="1701"/>
          </w:tcPr>
          <w:p>
            <w:r/>
            <w:r>
              <w:rPr>
                <w:sz w:val="18"/>
              </w:rPr>
              <w:t>Geserick²⁴</w:t>
            </w:r>
          </w:p>
        </w:tc>
      </w:tr>
      <w:tr>
        <w:tc>
          <w:tcPr>
            <w:tcW w:type="dxa" w:w="2268"/>
            <w:shd w:val="clear" w:color="auto" w:fill="F2F6FB"/>
          </w:tcPr>
          <w:p>
            <w:r/>
            <w:r>
              <w:rPr>
                <w:b/>
                <w:sz w:val="18"/>
              </w:rPr>
              <w:t>Tobacco</w:t>
            </w:r>
          </w:p>
        </w:tc>
        <w:tc>
          <w:tcPr>
            <w:tcW w:type="dxa" w:w="850"/>
            <w:shd w:val="clear" w:color="auto" w:fill="F2F6FB"/>
          </w:tcPr>
          <w:p>
            <w:r/>
            <w:r>
              <w:rPr>
                <w:sz w:val="18"/>
              </w:rPr>
              <w:t>0–4</w:t>
            </w:r>
          </w:p>
        </w:tc>
        <w:tc>
          <w:tcPr>
            <w:tcW w:type="dxa" w:w="4819"/>
            <w:shd w:val="clear" w:color="auto" w:fill="F2F6FB"/>
          </w:tcPr>
          <w:p>
            <w:r/>
            <w:r>
              <w:rPr>
                <w:sz w:val="18"/>
              </w:rPr>
              <w:t>+0 (never); +1 (former &gt;2y); +2 (former &lt;2y); +4 (current)</w:t>
            </w:r>
          </w:p>
        </w:tc>
        <w:tc>
          <w:tcPr>
            <w:tcW w:type="dxa" w:w="1701"/>
            <w:shd w:val="clear" w:color="auto" w:fill="F2F6FB"/>
          </w:tcPr>
          <w:p>
            <w:r/>
            <w:r>
              <w:rPr>
                <w:sz w:val="18"/>
              </w:rPr>
              <w:t>Framingham⁴</w:t>
            </w:r>
          </w:p>
        </w:tc>
      </w:tr>
      <w:tr>
        <w:tc>
          <w:tcPr>
            <w:tcW w:type="dxa" w:w="2268"/>
          </w:tcPr>
          <w:p>
            <w:r/>
            <w:r>
              <w:rPr>
                <w:b/>
                <w:sz w:val="18"/>
              </w:rPr>
              <w:t>Mental health (PHQ-9 proxy)</w:t>
            </w:r>
          </w:p>
        </w:tc>
        <w:tc>
          <w:tcPr>
            <w:tcW w:type="dxa" w:w="850"/>
          </w:tcPr>
          <w:p>
            <w:r/>
            <w:r>
              <w:rPr>
                <w:sz w:val="18"/>
              </w:rPr>
              <w:t>0–4</w:t>
            </w:r>
          </w:p>
        </w:tc>
        <w:tc>
          <w:tcPr>
            <w:tcW w:type="dxa" w:w="4819"/>
          </w:tcPr>
          <w:p>
            <w:r/>
            <w:r>
              <w:rPr>
                <w:sz w:val="18"/>
              </w:rPr>
              <w:t>+0 (no symptoms); +2 (mild–moderate); +4 (severe/treated)</w:t>
            </w:r>
          </w:p>
        </w:tc>
        <w:tc>
          <w:tcPr>
            <w:tcW w:type="dxa" w:w="1701"/>
          </w:tcPr>
          <w:p>
            <w:r/>
            <w:r>
              <w:rPr>
                <w:sz w:val="18"/>
              </w:rPr>
              <w:t>Cohen⁴⁴</w:t>
            </w:r>
          </w:p>
        </w:tc>
      </w:tr>
      <w:tr>
        <w:tc>
          <w:tcPr>
            <w:tcW w:type="dxa" w:w="2268"/>
            <w:shd w:val="clear" w:color="auto" w:fill="F2F6FB"/>
          </w:tcPr>
          <w:p>
            <w:r/>
            <w:r>
              <w:rPr>
                <w:b/>
                <w:sz w:val="18"/>
              </w:rPr>
              <w:t>Sleep quality</w:t>
            </w:r>
          </w:p>
        </w:tc>
        <w:tc>
          <w:tcPr>
            <w:tcW w:type="dxa" w:w="850"/>
            <w:shd w:val="clear" w:color="auto" w:fill="F2F6FB"/>
          </w:tcPr>
          <w:p>
            <w:r/>
            <w:r>
              <w:rPr>
                <w:sz w:val="18"/>
              </w:rPr>
              <w:t>0–4</w:t>
            </w:r>
          </w:p>
        </w:tc>
        <w:tc>
          <w:tcPr>
            <w:tcW w:type="dxa" w:w="4819"/>
            <w:shd w:val="clear" w:color="auto" w:fill="F2F6FB"/>
          </w:tcPr>
          <w:p>
            <w:r/>
            <w:r>
              <w:rPr>
                <w:sz w:val="18"/>
              </w:rPr>
              <w:t>ISI-based: +0 (normal); +2 (subthreshold); +4 (clinical)</w:t>
            </w:r>
          </w:p>
        </w:tc>
        <w:tc>
          <w:tcPr>
            <w:tcW w:type="dxa" w:w="1701"/>
            <w:shd w:val="clear" w:color="auto" w:fill="F2F6FB"/>
          </w:tcPr>
          <w:p>
            <w:r/>
            <w:r>
              <w:rPr>
                <w:sz w:val="18"/>
              </w:rPr>
              <w:t>Bastien⁴⁵</w:t>
            </w:r>
          </w:p>
        </w:tc>
      </w:tr>
    </w:tbl>
    <w:p>
      <w:pPr>
        <w:keepNext/>
        <w:spacing w:before="240" w:after="120"/>
      </w:pPr>
      <w:r>
        <w:rPr>
          <w:b/>
          <w:color w:val="2E5C8A"/>
          <w:sz w:val="24"/>
        </w:rPr>
        <w:t>M1.2, Lifestyle Domain (L, 0–10)</w:t>
      </w:r>
    </w:p>
    <w:tbl>
      <w:tblPr>
        <w:tblW w:type="auto" w:w="0"/>
        <w:jc w:val="center"/>
        <w:tblLayout w:type="fixed"/>
        <w:tblLook w:firstColumn="1" w:firstRow="1" w:lastColumn="0" w:lastRow="0" w:noHBand="0" w:noVBand="1" w:val="04A0"/>
      </w:tblPr>
      <w:tblGrid>
        <w:gridCol w:w="3324"/>
        <w:gridCol w:w="3324"/>
        <w:gridCol w:w="3324"/>
      </w:tblGrid>
      <w:tr>
        <w:tc>
          <w:tcPr>
            <w:tcW w:type="dxa" w:w="3118"/>
            <w:shd w:val="clear" w:color="auto" w:fill="1F3864"/>
          </w:tcPr>
          <w:p>
            <w:pPr>
              <w:jc w:val="center"/>
            </w:pPr>
            <w:r/>
            <w:r>
              <w:rPr>
                <w:b/>
                <w:color w:val="FFFFFF"/>
                <w:sz w:val="18"/>
              </w:rPr>
              <w:t>Sub-component</w:t>
            </w:r>
          </w:p>
        </w:tc>
        <w:tc>
          <w:tcPr>
            <w:tcW w:type="dxa" w:w="1134"/>
            <w:shd w:val="clear" w:color="auto" w:fill="1F3864"/>
          </w:tcPr>
          <w:p>
            <w:pPr>
              <w:jc w:val="center"/>
            </w:pPr>
            <w:r/>
            <w:r>
              <w:rPr>
                <w:b/>
                <w:color w:val="FFFFFF"/>
                <w:sz w:val="18"/>
              </w:rPr>
              <w:t>Range</w:t>
            </w:r>
          </w:p>
        </w:tc>
        <w:tc>
          <w:tcPr>
            <w:tcW w:type="dxa" w:w="5386"/>
            <w:shd w:val="clear" w:color="auto" w:fill="1F3864"/>
          </w:tcPr>
          <w:p>
            <w:pPr>
              <w:jc w:val="center"/>
            </w:pPr>
            <w:r/>
            <w:r>
              <w:rPr>
                <w:b/>
                <w:color w:val="FFFFFF"/>
                <w:sz w:val="18"/>
              </w:rPr>
              <w:t>Scoring rule</w:t>
            </w:r>
          </w:p>
        </w:tc>
      </w:tr>
      <w:tr>
        <w:tc>
          <w:tcPr>
            <w:tcW w:type="dxa" w:w="3118"/>
          </w:tcPr>
          <w:p>
            <w:r/>
            <w:r>
              <w:rPr>
                <w:b/>
                <w:sz w:val="18"/>
              </w:rPr>
              <w:t>Physical activity (METs/week)</w:t>
            </w:r>
          </w:p>
        </w:tc>
        <w:tc>
          <w:tcPr>
            <w:tcW w:type="dxa" w:w="1134"/>
          </w:tcPr>
          <w:p>
            <w:r/>
            <w:r>
              <w:rPr>
                <w:sz w:val="18"/>
              </w:rPr>
              <w:t>0–4</w:t>
            </w:r>
          </w:p>
        </w:tc>
        <w:tc>
          <w:tcPr>
            <w:tcW w:type="dxa" w:w="5386"/>
          </w:tcPr>
          <w:p>
            <w:r/>
            <w:r>
              <w:rPr>
                <w:sz w:val="18"/>
              </w:rPr>
              <w:t>+4 (&lt;150 min/wk); +2 (150–300); +0 (&gt;300, IPAQ-equivalent)</w:t>
            </w:r>
          </w:p>
        </w:tc>
      </w:tr>
      <w:tr>
        <w:tc>
          <w:tcPr>
            <w:tcW w:type="dxa" w:w="3118"/>
            <w:shd w:val="clear" w:color="auto" w:fill="F2F6FB"/>
          </w:tcPr>
          <w:p>
            <w:r/>
            <w:r>
              <w:rPr>
                <w:b/>
                <w:sz w:val="18"/>
              </w:rPr>
              <w:t>Dietary pattern (PREDIMED 0–14)</w:t>
            </w:r>
          </w:p>
        </w:tc>
        <w:tc>
          <w:tcPr>
            <w:tcW w:type="dxa" w:w="1134"/>
            <w:shd w:val="clear" w:color="auto" w:fill="F2F6FB"/>
          </w:tcPr>
          <w:p>
            <w:r/>
            <w:r>
              <w:rPr>
                <w:sz w:val="18"/>
              </w:rPr>
              <w:t>0–3</w:t>
            </w:r>
          </w:p>
        </w:tc>
        <w:tc>
          <w:tcPr>
            <w:tcW w:type="dxa" w:w="5386"/>
            <w:shd w:val="clear" w:color="auto" w:fill="F2F6FB"/>
          </w:tcPr>
          <w:p>
            <w:r/>
            <w:r>
              <w:rPr>
                <w:sz w:val="18"/>
              </w:rPr>
              <w:t>+0 (score &gt;10); +1.5 (6–10); +3 (&lt;6), Mediterranean adherence inverse</w:t>
            </w:r>
          </w:p>
        </w:tc>
      </w:tr>
      <w:tr>
        <w:tc>
          <w:tcPr>
            <w:tcW w:type="dxa" w:w="3118"/>
          </w:tcPr>
          <w:p>
            <w:r/>
            <w:r>
              <w:rPr>
                <w:b/>
                <w:sz w:val="18"/>
              </w:rPr>
              <w:t>Sedentary time (h/day)</w:t>
            </w:r>
          </w:p>
        </w:tc>
        <w:tc>
          <w:tcPr>
            <w:tcW w:type="dxa" w:w="1134"/>
          </w:tcPr>
          <w:p>
            <w:r/>
            <w:r>
              <w:rPr>
                <w:sz w:val="18"/>
              </w:rPr>
              <w:t>0–2</w:t>
            </w:r>
          </w:p>
        </w:tc>
        <w:tc>
          <w:tcPr>
            <w:tcW w:type="dxa" w:w="5386"/>
          </w:tcPr>
          <w:p>
            <w:r/>
            <w:r>
              <w:rPr>
                <w:sz w:val="18"/>
              </w:rPr>
              <w:t>+0 (&lt;4h); +1 (4–7h); +2 (&gt;7h)</w:t>
            </w:r>
          </w:p>
        </w:tc>
      </w:tr>
      <w:tr>
        <w:tc>
          <w:tcPr>
            <w:tcW w:type="dxa" w:w="3118"/>
            <w:shd w:val="clear" w:color="auto" w:fill="F2F6FB"/>
          </w:tcPr>
          <w:p>
            <w:r/>
            <w:r>
              <w:rPr>
                <w:b/>
                <w:sz w:val="18"/>
              </w:rPr>
              <w:t>Alcohol</w:t>
            </w:r>
          </w:p>
        </w:tc>
        <w:tc>
          <w:tcPr>
            <w:tcW w:type="dxa" w:w="1134"/>
            <w:shd w:val="clear" w:color="auto" w:fill="F2F6FB"/>
          </w:tcPr>
          <w:p>
            <w:r/>
            <w:r>
              <w:rPr>
                <w:sz w:val="18"/>
              </w:rPr>
              <w:t>0–1</w:t>
            </w:r>
          </w:p>
        </w:tc>
        <w:tc>
          <w:tcPr>
            <w:tcW w:type="dxa" w:w="5386"/>
            <w:shd w:val="clear" w:color="auto" w:fill="F2F6FB"/>
          </w:tcPr>
          <w:p>
            <w:r/>
            <w:r>
              <w:rPr>
                <w:sz w:val="18"/>
              </w:rPr>
              <w:t>+0 (&lt;7 U/wk); +0.5 (7–14); +1 (&gt;14)</w:t>
            </w:r>
          </w:p>
        </w:tc>
      </w:tr>
    </w:tbl>
    <w:p>
      <w:pPr>
        <w:keepNext/>
        <w:spacing w:before="240" w:after="120"/>
      </w:pPr>
      <w:r>
        <w:rPr>
          <w:b/>
          <w:color w:val="2E5C8A"/>
          <w:sz w:val="24"/>
        </w:rPr>
        <w:t>M1.3, Exposome Domain (E, 0–45)</w:t>
      </w:r>
    </w:p>
    <w:tbl>
      <w:tblPr>
        <w:tblW w:type="auto" w:w="0"/>
        <w:jc w:val="center"/>
        <w:tblLayout w:type="fixed"/>
        <w:tblLook w:firstColumn="1" w:firstRow="1" w:lastColumn="0" w:lastRow="0" w:noHBand="0" w:noVBand="1" w:val="04A0"/>
      </w:tblPr>
      <w:tblGrid>
        <w:gridCol w:w="3324"/>
        <w:gridCol w:w="3324"/>
        <w:gridCol w:w="3324"/>
      </w:tblGrid>
      <w:tr>
        <w:tc>
          <w:tcPr>
            <w:tcW w:type="dxa" w:w="3402"/>
            <w:shd w:val="clear" w:color="auto" w:fill="1F3864"/>
          </w:tcPr>
          <w:p>
            <w:pPr>
              <w:jc w:val="center"/>
            </w:pPr>
            <w:r/>
            <w:r>
              <w:rPr>
                <w:b/>
                <w:color w:val="FFFFFF"/>
                <w:sz w:val="18"/>
              </w:rPr>
              <w:t>Sub-component</w:t>
            </w:r>
          </w:p>
        </w:tc>
        <w:tc>
          <w:tcPr>
            <w:tcW w:type="dxa" w:w="1134"/>
            <w:shd w:val="clear" w:color="auto" w:fill="1F3864"/>
          </w:tcPr>
          <w:p>
            <w:pPr>
              <w:jc w:val="center"/>
            </w:pPr>
            <w:r/>
            <w:r>
              <w:rPr>
                <w:b/>
                <w:color w:val="FFFFFF"/>
                <w:sz w:val="18"/>
              </w:rPr>
              <w:t>Range</w:t>
            </w:r>
          </w:p>
        </w:tc>
        <w:tc>
          <w:tcPr>
            <w:tcW w:type="dxa" w:w="5102"/>
            <w:shd w:val="clear" w:color="auto" w:fill="1F3864"/>
          </w:tcPr>
          <w:p>
            <w:pPr>
              <w:jc w:val="center"/>
            </w:pPr>
            <w:r/>
            <w:r>
              <w:rPr>
                <w:b/>
                <w:color w:val="FFFFFF"/>
                <w:sz w:val="18"/>
              </w:rPr>
              <w:t>Scoring rule</w:t>
            </w:r>
          </w:p>
        </w:tc>
      </w:tr>
      <w:tr>
        <w:tc>
          <w:tcPr>
            <w:tcW w:type="dxa" w:w="3402"/>
          </w:tcPr>
          <w:p>
            <w:r/>
            <w:r>
              <w:rPr>
                <w:b/>
                <w:sz w:val="18"/>
              </w:rPr>
              <w:t>Air quality (PM2.5 μg/m³ annual)</w:t>
            </w:r>
          </w:p>
        </w:tc>
        <w:tc>
          <w:tcPr>
            <w:tcW w:type="dxa" w:w="1134"/>
          </w:tcPr>
          <w:p>
            <w:r/>
            <w:r>
              <w:rPr>
                <w:sz w:val="18"/>
              </w:rPr>
              <w:t>0–10</w:t>
            </w:r>
          </w:p>
        </w:tc>
        <w:tc>
          <w:tcPr>
            <w:tcW w:type="dxa" w:w="5102"/>
          </w:tcPr>
          <w:p>
            <w:r/>
            <w:r>
              <w:rPr>
                <w:sz w:val="18"/>
              </w:rPr>
              <w:t>Linear: +0 (≤5); +5 (5–25); +10 (&gt;25). Geolocation-derived</w:t>
            </w:r>
          </w:p>
        </w:tc>
      </w:tr>
      <w:tr>
        <w:tc>
          <w:tcPr>
            <w:tcW w:type="dxa" w:w="3402"/>
            <w:shd w:val="clear" w:color="auto" w:fill="F2F6FB"/>
          </w:tcPr>
          <w:p>
            <w:r/>
            <w:r>
              <w:rPr>
                <w:b/>
                <w:sz w:val="18"/>
              </w:rPr>
              <w:t>Drinking water quality</w:t>
            </w:r>
          </w:p>
        </w:tc>
        <w:tc>
          <w:tcPr>
            <w:tcW w:type="dxa" w:w="1134"/>
            <w:shd w:val="clear" w:color="auto" w:fill="F2F6FB"/>
          </w:tcPr>
          <w:p>
            <w:r/>
            <w:r>
              <w:rPr>
                <w:sz w:val="18"/>
              </w:rPr>
              <w:t>0–5</w:t>
            </w:r>
          </w:p>
        </w:tc>
        <w:tc>
          <w:tcPr>
            <w:tcW w:type="dxa" w:w="5102"/>
            <w:shd w:val="clear" w:color="auto" w:fill="F2F6FB"/>
          </w:tcPr>
          <w:p>
            <w:r/>
            <w:r>
              <w:rPr>
                <w:sz w:val="18"/>
              </w:rPr>
              <w:t>Categorical by IDH index: +0 (high); +3 (medium); +5 (low)</w:t>
            </w:r>
          </w:p>
        </w:tc>
      </w:tr>
      <w:tr>
        <w:tc>
          <w:tcPr>
            <w:tcW w:type="dxa" w:w="3402"/>
          </w:tcPr>
          <w:p>
            <w:r/>
            <w:r>
              <w:rPr>
                <w:b/>
                <w:sz w:val="18"/>
              </w:rPr>
              <w:t>Endocrine disruptor exposure</w:t>
            </w:r>
          </w:p>
        </w:tc>
        <w:tc>
          <w:tcPr>
            <w:tcW w:type="dxa" w:w="1134"/>
          </w:tcPr>
          <w:p>
            <w:r/>
            <w:r>
              <w:rPr>
                <w:sz w:val="18"/>
              </w:rPr>
              <w:t>0–8</w:t>
            </w:r>
          </w:p>
        </w:tc>
        <w:tc>
          <w:tcPr>
            <w:tcW w:type="dxa" w:w="5102"/>
          </w:tcPr>
          <w:p>
            <w:r/>
            <w:r>
              <w:rPr>
                <w:sz w:val="18"/>
              </w:rPr>
              <w:t>Job-task matrix + residential proximity to industrial sites</w:t>
            </w:r>
          </w:p>
        </w:tc>
      </w:tr>
      <w:tr>
        <w:tc>
          <w:tcPr>
            <w:tcW w:type="dxa" w:w="3402"/>
            <w:shd w:val="clear" w:color="auto" w:fill="F2F6FB"/>
          </w:tcPr>
          <w:p>
            <w:r/>
            <w:r>
              <w:rPr>
                <w:b/>
                <w:sz w:val="18"/>
              </w:rPr>
              <w:t>Noise pollution (Lden dB)</w:t>
            </w:r>
          </w:p>
        </w:tc>
        <w:tc>
          <w:tcPr>
            <w:tcW w:type="dxa" w:w="1134"/>
            <w:shd w:val="clear" w:color="auto" w:fill="F2F6FB"/>
          </w:tcPr>
          <w:p>
            <w:r/>
            <w:r>
              <w:rPr>
                <w:sz w:val="18"/>
              </w:rPr>
              <w:t>0–5</w:t>
            </w:r>
          </w:p>
        </w:tc>
        <w:tc>
          <w:tcPr>
            <w:tcW w:type="dxa" w:w="5102"/>
            <w:shd w:val="clear" w:color="auto" w:fill="F2F6FB"/>
          </w:tcPr>
          <w:p>
            <w:r/>
            <w:r>
              <w:rPr>
                <w:sz w:val="18"/>
              </w:rPr>
              <w:t>+0 (&lt;55); +2.5 (55–70); +5 (&gt;70)</w:t>
            </w:r>
          </w:p>
        </w:tc>
      </w:tr>
      <w:tr>
        <w:tc>
          <w:tcPr>
            <w:tcW w:type="dxa" w:w="3402"/>
          </w:tcPr>
          <w:p>
            <w:r/>
            <w:r>
              <w:rPr>
                <w:b/>
                <w:sz w:val="18"/>
              </w:rPr>
              <w:t>Climatic stress (FNC modulator)</w:t>
            </w:r>
          </w:p>
        </w:tc>
        <w:tc>
          <w:tcPr>
            <w:tcW w:type="dxa" w:w="1134"/>
          </w:tcPr>
          <w:p>
            <w:r/>
            <w:r>
              <w:rPr>
                <w:sz w:val="18"/>
              </w:rPr>
              <w:t>0–7</w:t>
            </w:r>
          </w:p>
        </w:tc>
        <w:tc>
          <w:tcPr>
            <w:tcW w:type="dxa" w:w="5102"/>
          </w:tcPr>
          <w:p>
            <w:r/>
            <w:r>
              <w:rPr>
                <w:sz w:val="18"/>
              </w:rPr>
              <w:t>See §M8, depends on Köppen zone of residence</w:t>
            </w:r>
          </w:p>
        </w:tc>
      </w:tr>
      <w:tr>
        <w:tc>
          <w:tcPr>
            <w:tcW w:type="dxa" w:w="3402"/>
            <w:shd w:val="clear" w:color="auto" w:fill="F2F6FB"/>
          </w:tcPr>
          <w:p>
            <w:r/>
            <w:r>
              <w:rPr>
                <w:b/>
                <w:sz w:val="18"/>
              </w:rPr>
              <w:t>Light pollution / circadian disruption</w:t>
            </w:r>
          </w:p>
        </w:tc>
        <w:tc>
          <w:tcPr>
            <w:tcW w:type="dxa" w:w="1134"/>
            <w:shd w:val="clear" w:color="auto" w:fill="F2F6FB"/>
          </w:tcPr>
          <w:p>
            <w:r/>
            <w:r>
              <w:rPr>
                <w:sz w:val="18"/>
              </w:rPr>
              <w:t>0–4</w:t>
            </w:r>
          </w:p>
        </w:tc>
        <w:tc>
          <w:tcPr>
            <w:tcW w:type="dxa" w:w="5102"/>
            <w:shd w:val="clear" w:color="auto" w:fill="F2F6FB"/>
          </w:tcPr>
          <w:p>
            <w:r/>
            <w:r>
              <w:rPr>
                <w:sz w:val="18"/>
              </w:rPr>
              <w:t>Bortle scale: +0 (1–2); +2 (3–5); +4 (6–9)</w:t>
            </w:r>
          </w:p>
        </w:tc>
      </w:tr>
      <w:tr>
        <w:tc>
          <w:tcPr>
            <w:tcW w:type="dxa" w:w="3402"/>
          </w:tcPr>
          <w:p>
            <w:r/>
            <w:r>
              <w:rPr>
                <w:b/>
                <w:sz w:val="18"/>
              </w:rPr>
              <w:t>Greenspace access (NDVI buffer 500m)</w:t>
            </w:r>
          </w:p>
        </w:tc>
        <w:tc>
          <w:tcPr>
            <w:tcW w:type="dxa" w:w="1134"/>
          </w:tcPr>
          <w:p>
            <w:r/>
            <w:r>
              <w:rPr>
                <w:sz w:val="18"/>
              </w:rPr>
              <w:t>0–6</w:t>
            </w:r>
          </w:p>
        </w:tc>
        <w:tc>
          <w:tcPr>
            <w:tcW w:type="dxa" w:w="5102"/>
          </w:tcPr>
          <w:p>
            <w:r/>
            <w:r>
              <w:rPr>
                <w:sz w:val="18"/>
              </w:rPr>
              <w:t>+0 (NDVI &gt;0.5); +3 (0.3–0.5); +6 (&lt;0.3)</w:t>
            </w:r>
          </w:p>
        </w:tc>
      </w:tr>
    </w:tbl>
    <w:p>
      <w:pPr>
        <w:keepNext/>
        <w:spacing w:before="240" w:after="120"/>
      </w:pPr>
      <w:r>
        <w:rPr>
          <w:b/>
          <w:color w:val="2E5C8A"/>
          <w:sz w:val="24"/>
        </w:rPr>
        <w:t>M1.4, Occupational Domain (O, 0–10)</w:t>
      </w:r>
    </w:p>
    <w:tbl>
      <w:tblPr>
        <w:tblW w:type="auto" w:w="0"/>
        <w:jc w:val="center"/>
        <w:tblLayout w:type="fixed"/>
        <w:tblLook w:firstColumn="1" w:firstRow="1" w:lastColumn="0" w:lastRow="0" w:noHBand="0" w:noVBand="1" w:val="04A0"/>
      </w:tblPr>
      <w:tblGrid>
        <w:gridCol w:w="3324"/>
        <w:gridCol w:w="3324"/>
        <w:gridCol w:w="3324"/>
      </w:tblGrid>
      <w:tr>
        <w:tc>
          <w:tcPr>
            <w:tcW w:type="dxa" w:w="3402"/>
            <w:shd w:val="clear" w:color="auto" w:fill="1F3864"/>
          </w:tcPr>
          <w:p>
            <w:pPr>
              <w:jc w:val="center"/>
            </w:pPr>
            <w:r/>
            <w:r>
              <w:rPr>
                <w:b/>
                <w:color w:val="FFFFFF"/>
                <w:sz w:val="18"/>
              </w:rPr>
              <w:t>Sub-component</w:t>
            </w:r>
          </w:p>
        </w:tc>
        <w:tc>
          <w:tcPr>
            <w:tcW w:type="dxa" w:w="1134"/>
            <w:shd w:val="clear" w:color="auto" w:fill="1F3864"/>
          </w:tcPr>
          <w:p>
            <w:pPr>
              <w:jc w:val="center"/>
            </w:pPr>
            <w:r/>
            <w:r>
              <w:rPr>
                <w:b/>
                <w:color w:val="FFFFFF"/>
                <w:sz w:val="18"/>
              </w:rPr>
              <w:t>Range</w:t>
            </w:r>
          </w:p>
        </w:tc>
        <w:tc>
          <w:tcPr>
            <w:tcW w:type="dxa" w:w="5102"/>
            <w:shd w:val="clear" w:color="auto" w:fill="1F3864"/>
          </w:tcPr>
          <w:p>
            <w:pPr>
              <w:jc w:val="center"/>
            </w:pPr>
            <w:r/>
            <w:r>
              <w:rPr>
                <w:b/>
                <w:color w:val="FFFFFF"/>
                <w:sz w:val="18"/>
              </w:rPr>
              <w:t>Scoring rule</w:t>
            </w:r>
          </w:p>
        </w:tc>
      </w:tr>
      <w:tr>
        <w:tc>
          <w:tcPr>
            <w:tcW w:type="dxa" w:w="3402"/>
          </w:tcPr>
          <w:p>
            <w:r/>
            <w:r>
              <w:rPr>
                <w:b/>
                <w:sz w:val="18"/>
              </w:rPr>
              <w:t>Shift work (current)</w:t>
            </w:r>
          </w:p>
        </w:tc>
        <w:tc>
          <w:tcPr>
            <w:tcW w:type="dxa" w:w="1134"/>
          </w:tcPr>
          <w:p>
            <w:r/>
            <w:r>
              <w:rPr>
                <w:sz w:val="18"/>
              </w:rPr>
              <w:t>0–4</w:t>
            </w:r>
          </w:p>
        </w:tc>
        <w:tc>
          <w:tcPr>
            <w:tcW w:type="dxa" w:w="5102"/>
          </w:tcPr>
          <w:p>
            <w:r/>
            <w:r>
              <w:rPr>
                <w:sz w:val="18"/>
              </w:rPr>
              <w:t>+0 (day only); +2 (rotating); +4 (permanent night)</w:t>
            </w:r>
          </w:p>
        </w:tc>
      </w:tr>
      <w:tr>
        <w:tc>
          <w:tcPr>
            <w:tcW w:type="dxa" w:w="3402"/>
            <w:shd w:val="clear" w:color="auto" w:fill="F2F6FB"/>
          </w:tcPr>
          <w:p>
            <w:r/>
            <w:r>
              <w:rPr>
                <w:b/>
                <w:sz w:val="18"/>
              </w:rPr>
              <w:t>Sedentary occupation</w:t>
            </w:r>
          </w:p>
        </w:tc>
        <w:tc>
          <w:tcPr>
            <w:tcW w:type="dxa" w:w="1134"/>
            <w:shd w:val="clear" w:color="auto" w:fill="F2F6FB"/>
          </w:tcPr>
          <w:p>
            <w:r/>
            <w:r>
              <w:rPr>
                <w:sz w:val="18"/>
              </w:rPr>
              <w:t>0–3</w:t>
            </w:r>
          </w:p>
        </w:tc>
        <w:tc>
          <w:tcPr>
            <w:tcW w:type="dxa" w:w="5102"/>
            <w:shd w:val="clear" w:color="auto" w:fill="F2F6FB"/>
          </w:tcPr>
          <w:p>
            <w:r/>
            <w:r>
              <w:rPr>
                <w:sz w:val="18"/>
              </w:rPr>
              <w:t>+0 (active); +1.5 (mixed); +3 (sedentary &gt;6h/day)</w:t>
            </w:r>
          </w:p>
        </w:tc>
      </w:tr>
      <w:tr>
        <w:tc>
          <w:tcPr>
            <w:tcW w:type="dxa" w:w="3402"/>
          </w:tcPr>
          <w:p>
            <w:r/>
            <w:r>
              <w:rPr>
                <w:b/>
                <w:sz w:val="18"/>
              </w:rPr>
              <w:t>Job stress (Karasek demand/control)</w:t>
            </w:r>
          </w:p>
        </w:tc>
        <w:tc>
          <w:tcPr>
            <w:tcW w:type="dxa" w:w="1134"/>
          </w:tcPr>
          <w:p>
            <w:r/>
            <w:r>
              <w:rPr>
                <w:sz w:val="18"/>
              </w:rPr>
              <w:t>0–2</w:t>
            </w:r>
          </w:p>
        </w:tc>
        <w:tc>
          <w:tcPr>
            <w:tcW w:type="dxa" w:w="5102"/>
          </w:tcPr>
          <w:p>
            <w:r/>
            <w:r>
              <w:rPr>
                <w:sz w:val="18"/>
              </w:rPr>
              <w:t>+0 (low strain); +1 (high strain); +2 (iso-strain)</w:t>
            </w:r>
          </w:p>
        </w:tc>
      </w:tr>
      <w:tr>
        <w:tc>
          <w:tcPr>
            <w:tcW w:type="dxa" w:w="3402"/>
            <w:shd w:val="clear" w:color="auto" w:fill="F2F6FB"/>
          </w:tcPr>
          <w:p>
            <w:r/>
            <w:r>
              <w:rPr>
                <w:b/>
                <w:sz w:val="18"/>
              </w:rPr>
              <w:t>Occupational toxin exposure</w:t>
            </w:r>
          </w:p>
        </w:tc>
        <w:tc>
          <w:tcPr>
            <w:tcW w:type="dxa" w:w="1134"/>
            <w:shd w:val="clear" w:color="auto" w:fill="F2F6FB"/>
          </w:tcPr>
          <w:p>
            <w:r/>
            <w:r>
              <w:rPr>
                <w:sz w:val="18"/>
              </w:rPr>
              <w:t>0–1</w:t>
            </w:r>
          </w:p>
        </w:tc>
        <w:tc>
          <w:tcPr>
            <w:tcW w:type="dxa" w:w="5102"/>
            <w:shd w:val="clear" w:color="auto" w:fill="F2F6FB"/>
          </w:tcPr>
          <w:p>
            <w:r/>
            <w:r>
              <w:rPr>
                <w:sz w:val="18"/>
              </w:rPr>
              <w:t>Binary: +0 (none); +1 (documented)</w:t>
            </w:r>
          </w:p>
        </w:tc>
      </w:tr>
    </w:tbl>
    <w:tbl>
      <w:tblPr>
        <w:tblW w:type="auto" w:w="0"/>
        <w:tblLayout w:type="fixed"/>
        <w:tblLook w:firstColumn="1" w:firstRow="1" w:lastColumn="0" w:lastRow="0" w:noHBand="0" w:noVBand="1" w:val="04A0"/>
      </w:tblPr>
      <w:tblGrid>
        <w:gridCol w:w="9972"/>
      </w:tblGrid>
      <w:tr>
        <w:tc>
          <w:tcPr>
            <w:tcW w:type="dxa" w:w="9638"/>
            <w:shd w:val="clear" w:color="auto" w:fill="EBF4FB"/>
          </w:tcPr>
          <w:p>
            <w:pPr>
              <w:spacing w:before="80" w:after="80"/>
            </w:pPr>
            <w:r/>
            <w:r>
              <w:rPr>
                <w:i/>
                <w:sz w:val="19"/>
              </w:rPr>
              <w:t>All CLEO weights are expert-derived from the cited literature and were not optimised on NHANES outcome data. See manuscript §4.2 for the rationale behind this design choice.</w:t>
            </w:r>
          </w:p>
        </w:tc>
      </w:tr>
    </w:tbl>
    <w:p/>
    <w:p>
      <w:r>
        <w:br w:type="page"/>
      </w:r>
    </w:p>
    <w:p>
      <w:pPr>
        <w:keepNext/>
        <w:spacing w:before="360" w:after="160"/>
      </w:pPr>
      <w:r>
        <w:rPr>
          <w:b/>
          <w:color w:val="1F3864"/>
          <w:sz w:val="28"/>
        </w:rPr>
        <w:t>M2. bioNorm Module. Biological Normalisation (0–100)</w:t>
      </w:r>
    </w:p>
    <w:p>
      <w:pPr>
        <w:jc w:val="both"/>
      </w:pPr>
      <w:r>
        <w:rPr>
          <w:b w:val="0"/>
          <w:i w:val="0"/>
        </w:rPr>
        <w:t>The bioNorm module computes a continuous biological risk score from 18 indicators by adaptive z-score weighting. Each indicator x_i is transformed to a z-score against population reference values (NHANES 2011–2018 non-obese subpopulation), inverted where lower values indicate higher risk (e.g. HDL, adiponectin), and capped at ±4 SD to bound influence of extreme outliers.</w:t>
      </w:r>
    </w:p>
    <w:p>
      <w:pPr>
        <w:spacing w:before="160" w:after="160"/>
        <w:jc w:val="center"/>
      </w:pPr>
      <w:r>
        <w:rPr>
          <w:rFonts w:ascii="Courier New" w:hAnsi="Courier New"/>
          <w:color w:val="1A1A1A"/>
          <w:sz w:val="20"/>
        </w:rPr>
        <w:t>bioNorm = 50 + 10 × mean_i(w_i × z_i × direction_i)</w:t>
      </w:r>
    </w:p>
    <w:p>
      <w:pPr>
        <w:jc w:val="both"/>
      </w:pPr>
      <w:r>
        <w:rPr>
          <w:b w:val="0"/>
          <w:i w:val="0"/>
        </w:rPr>
        <w:t>where w_i is the indicator-specific weight (Table M2.1), z_i is the capped z-score, and direction_i ∈ {+1, −1} encodes whether higher values are favourable (−1) or unfavourable (+1) for metabolic risk.</w:t>
      </w:r>
    </w:p>
    <w:p>
      <w:pPr>
        <w:keepNext/>
        <w:spacing w:before="240" w:after="120"/>
      </w:pPr>
      <w:r>
        <w:rPr>
          <w:b/>
          <w:color w:val="2E5C8A"/>
          <w:sz w:val="24"/>
        </w:rPr>
        <w:t>M2.1, The 18 bioNorm Indicators</w:t>
      </w:r>
    </w:p>
    <w:tbl>
      <w:tblPr>
        <w:tblW w:type="auto" w:w="0"/>
        <w:jc w:val="center"/>
        <w:tblLayout w:type="fixed"/>
        <w:tblLook w:firstColumn="1" w:firstRow="1" w:lastColumn="0" w:lastRow="0" w:noHBand="0" w:noVBand="1" w:val="04A0"/>
      </w:tblPr>
      <w:tblGrid>
        <w:gridCol w:w="1662"/>
        <w:gridCol w:w="1662"/>
        <w:gridCol w:w="1662"/>
        <w:gridCol w:w="1662"/>
        <w:gridCol w:w="1662"/>
        <w:gridCol w:w="1662"/>
      </w:tblGrid>
      <w:tr>
        <w:tc>
          <w:tcPr>
            <w:tcW w:type="dxa" w:w="454"/>
            <w:shd w:val="clear" w:color="auto" w:fill="1F3864"/>
          </w:tcPr>
          <w:p>
            <w:pPr>
              <w:jc w:val="center"/>
            </w:pPr>
            <w:r/>
            <w:r>
              <w:rPr>
                <w:b/>
                <w:color w:val="FFFFFF"/>
                <w:sz w:val="18"/>
              </w:rPr>
              <w:t>#</w:t>
            </w:r>
          </w:p>
        </w:tc>
        <w:tc>
          <w:tcPr>
            <w:tcW w:type="dxa" w:w="2551"/>
            <w:shd w:val="clear" w:color="auto" w:fill="1F3864"/>
          </w:tcPr>
          <w:p>
            <w:pPr>
              <w:jc w:val="center"/>
            </w:pPr>
            <w:r/>
            <w:r>
              <w:rPr>
                <w:b/>
                <w:color w:val="FFFFFF"/>
                <w:sz w:val="18"/>
              </w:rPr>
              <w:t>Indicator</w:t>
            </w:r>
          </w:p>
        </w:tc>
        <w:tc>
          <w:tcPr>
            <w:tcW w:type="dxa" w:w="964"/>
            <w:shd w:val="clear" w:color="auto" w:fill="1F3864"/>
          </w:tcPr>
          <w:p>
            <w:pPr>
              <w:jc w:val="center"/>
            </w:pPr>
            <w:r/>
            <w:r>
              <w:rPr>
                <w:b/>
                <w:color w:val="FFFFFF"/>
                <w:sz w:val="18"/>
              </w:rPr>
              <w:t>Unit</w:t>
            </w:r>
          </w:p>
        </w:tc>
        <w:tc>
          <w:tcPr>
            <w:tcW w:type="dxa" w:w="964"/>
            <w:shd w:val="clear" w:color="auto" w:fill="1F3864"/>
          </w:tcPr>
          <w:p>
            <w:pPr>
              <w:jc w:val="center"/>
            </w:pPr>
            <w:r/>
            <w:r>
              <w:rPr>
                <w:b/>
                <w:color w:val="FFFFFF"/>
                <w:sz w:val="18"/>
              </w:rPr>
              <w:t>Weight w_i</w:t>
            </w:r>
          </w:p>
        </w:tc>
        <w:tc>
          <w:tcPr>
            <w:tcW w:type="dxa" w:w="1417"/>
            <w:shd w:val="clear" w:color="auto" w:fill="1F3864"/>
          </w:tcPr>
          <w:p>
            <w:pPr>
              <w:jc w:val="center"/>
            </w:pPr>
            <w:r/>
            <w:r>
              <w:rPr>
                <w:b/>
                <w:color w:val="FFFFFF"/>
                <w:sz w:val="18"/>
              </w:rPr>
              <w:t>Direction</w:t>
            </w:r>
          </w:p>
        </w:tc>
        <w:tc>
          <w:tcPr>
            <w:tcW w:type="dxa" w:w="3288"/>
            <w:shd w:val="clear" w:color="auto" w:fill="1F3864"/>
          </w:tcPr>
          <w:p>
            <w:pPr>
              <w:jc w:val="center"/>
            </w:pPr>
            <w:r/>
            <w:r>
              <w:rPr>
                <w:b/>
                <w:color w:val="FFFFFF"/>
                <w:sz w:val="18"/>
              </w:rPr>
              <w:t>Reference</w:t>
            </w:r>
          </w:p>
        </w:tc>
      </w:tr>
      <w:tr>
        <w:tc>
          <w:tcPr>
            <w:tcW w:type="dxa" w:w="454"/>
          </w:tcPr>
          <w:p>
            <w:r/>
            <w:r>
              <w:rPr>
                <w:b/>
                <w:sz w:val="18"/>
              </w:rPr>
              <w:t>1</w:t>
            </w:r>
          </w:p>
        </w:tc>
        <w:tc>
          <w:tcPr>
            <w:tcW w:type="dxa" w:w="2551"/>
          </w:tcPr>
          <w:p>
            <w:r/>
            <w:r>
              <w:rPr>
                <w:sz w:val="18"/>
              </w:rPr>
              <w:t>HOMA-IR</w:t>
            </w:r>
          </w:p>
        </w:tc>
        <w:tc>
          <w:tcPr>
            <w:tcW w:type="dxa" w:w="964"/>
          </w:tcPr>
          <w:p>
            <w:r/>
            <w:r>
              <w:rPr>
                <w:sz w:val="18"/>
              </w:rPr>
              <w:t>,</w:t>
            </w:r>
          </w:p>
        </w:tc>
        <w:tc>
          <w:tcPr>
            <w:tcW w:type="dxa" w:w="964"/>
          </w:tcPr>
          <w:p>
            <w:r/>
            <w:r>
              <w:rPr>
                <w:sz w:val="18"/>
              </w:rPr>
              <w:t>0.10</w:t>
            </w:r>
          </w:p>
        </w:tc>
        <w:tc>
          <w:tcPr>
            <w:tcW w:type="dxa" w:w="1417"/>
          </w:tcPr>
          <w:p>
            <w:r/>
            <w:r>
              <w:rPr>
                <w:sz w:val="18"/>
              </w:rPr>
              <w:t>+ (unfav)</w:t>
            </w:r>
          </w:p>
        </w:tc>
        <w:tc>
          <w:tcPr>
            <w:tcW w:type="dxa" w:w="3288"/>
          </w:tcPr>
          <w:p>
            <w:r/>
            <w:r>
              <w:rPr>
                <w:sz w:val="18"/>
              </w:rPr>
              <w:t>Matthews 1985</w:t>
            </w:r>
          </w:p>
        </w:tc>
      </w:tr>
      <w:tr>
        <w:tc>
          <w:tcPr>
            <w:tcW w:type="dxa" w:w="454"/>
            <w:shd w:val="clear" w:color="auto" w:fill="F2F6FB"/>
          </w:tcPr>
          <w:p>
            <w:r/>
            <w:r>
              <w:rPr>
                <w:b/>
                <w:sz w:val="18"/>
              </w:rPr>
              <w:t>2</w:t>
            </w:r>
          </w:p>
        </w:tc>
        <w:tc>
          <w:tcPr>
            <w:tcW w:type="dxa" w:w="2551"/>
            <w:shd w:val="clear" w:color="auto" w:fill="F2F6FB"/>
          </w:tcPr>
          <w:p>
            <w:r/>
            <w:r>
              <w:rPr>
                <w:sz w:val="18"/>
              </w:rPr>
              <w:t>HbA1c</w:t>
            </w:r>
          </w:p>
        </w:tc>
        <w:tc>
          <w:tcPr>
            <w:tcW w:type="dxa" w:w="964"/>
            <w:shd w:val="clear" w:color="auto" w:fill="F2F6FB"/>
          </w:tcPr>
          <w:p>
            <w:r/>
            <w:r>
              <w:rPr>
                <w:sz w:val="18"/>
              </w:rPr>
              <w:t>%</w:t>
            </w:r>
          </w:p>
        </w:tc>
        <w:tc>
          <w:tcPr>
            <w:tcW w:type="dxa" w:w="964"/>
            <w:shd w:val="clear" w:color="auto" w:fill="F2F6FB"/>
          </w:tcPr>
          <w:p>
            <w:r/>
            <w:r>
              <w:rPr>
                <w:sz w:val="18"/>
              </w:rPr>
              <w:t>0.10</w:t>
            </w:r>
          </w:p>
        </w:tc>
        <w:tc>
          <w:tcPr>
            <w:tcW w:type="dxa" w:w="1417"/>
            <w:shd w:val="clear" w:color="auto" w:fill="F2F6FB"/>
          </w:tcPr>
          <w:p>
            <w:r/>
            <w:r>
              <w:rPr>
                <w:sz w:val="18"/>
              </w:rPr>
              <w:t>+ (unfav)</w:t>
            </w:r>
          </w:p>
        </w:tc>
        <w:tc>
          <w:tcPr>
            <w:tcW w:type="dxa" w:w="3288"/>
            <w:shd w:val="clear" w:color="auto" w:fill="F2F6FB"/>
          </w:tcPr>
          <w:p>
            <w:r/>
            <w:r>
              <w:rPr>
                <w:sz w:val="18"/>
              </w:rPr>
              <w:t>ADA 2024</w:t>
            </w:r>
          </w:p>
        </w:tc>
      </w:tr>
      <w:tr>
        <w:tc>
          <w:tcPr>
            <w:tcW w:type="dxa" w:w="454"/>
          </w:tcPr>
          <w:p>
            <w:r/>
            <w:r>
              <w:rPr>
                <w:b/>
                <w:sz w:val="18"/>
              </w:rPr>
              <w:t>3</w:t>
            </w:r>
          </w:p>
        </w:tc>
        <w:tc>
          <w:tcPr>
            <w:tcW w:type="dxa" w:w="2551"/>
          </w:tcPr>
          <w:p>
            <w:r/>
            <w:r>
              <w:rPr>
                <w:sz w:val="18"/>
              </w:rPr>
              <w:t>Fasting glucose</w:t>
            </w:r>
          </w:p>
        </w:tc>
        <w:tc>
          <w:tcPr>
            <w:tcW w:type="dxa" w:w="964"/>
          </w:tcPr>
          <w:p>
            <w:r/>
            <w:r>
              <w:rPr>
                <w:sz w:val="18"/>
              </w:rPr>
              <w:t>mmol/L</w:t>
            </w:r>
          </w:p>
        </w:tc>
        <w:tc>
          <w:tcPr>
            <w:tcW w:type="dxa" w:w="964"/>
          </w:tcPr>
          <w:p>
            <w:r/>
            <w:r>
              <w:rPr>
                <w:sz w:val="18"/>
              </w:rPr>
              <w:t>0.06</w:t>
            </w:r>
          </w:p>
        </w:tc>
        <w:tc>
          <w:tcPr>
            <w:tcW w:type="dxa" w:w="1417"/>
          </w:tcPr>
          <w:p>
            <w:r/>
            <w:r>
              <w:rPr>
                <w:sz w:val="18"/>
              </w:rPr>
              <w:t>+ (unfav)</w:t>
            </w:r>
          </w:p>
        </w:tc>
        <w:tc>
          <w:tcPr>
            <w:tcW w:type="dxa" w:w="3288"/>
          </w:tcPr>
          <w:p>
            <w:r/>
            <w:r>
              <w:rPr>
                <w:sz w:val="18"/>
              </w:rPr>
              <w:t>IDF 2006³⁴</w:t>
            </w:r>
          </w:p>
        </w:tc>
      </w:tr>
      <w:tr>
        <w:tc>
          <w:tcPr>
            <w:tcW w:type="dxa" w:w="454"/>
            <w:shd w:val="clear" w:color="auto" w:fill="F2F6FB"/>
          </w:tcPr>
          <w:p>
            <w:r/>
            <w:r>
              <w:rPr>
                <w:b/>
                <w:sz w:val="18"/>
              </w:rPr>
              <w:t>4</w:t>
            </w:r>
          </w:p>
        </w:tc>
        <w:tc>
          <w:tcPr>
            <w:tcW w:type="dxa" w:w="2551"/>
            <w:shd w:val="clear" w:color="auto" w:fill="F2F6FB"/>
          </w:tcPr>
          <w:p>
            <w:r/>
            <w:r>
              <w:rPr>
                <w:sz w:val="18"/>
              </w:rPr>
              <w:t>Triglycerides</w:t>
            </w:r>
          </w:p>
        </w:tc>
        <w:tc>
          <w:tcPr>
            <w:tcW w:type="dxa" w:w="964"/>
            <w:shd w:val="clear" w:color="auto" w:fill="F2F6FB"/>
          </w:tcPr>
          <w:p>
            <w:r/>
            <w:r>
              <w:rPr>
                <w:sz w:val="18"/>
              </w:rPr>
              <w:t>mmol/L</w:t>
            </w:r>
          </w:p>
        </w:tc>
        <w:tc>
          <w:tcPr>
            <w:tcW w:type="dxa" w:w="964"/>
            <w:shd w:val="clear" w:color="auto" w:fill="F2F6FB"/>
          </w:tcPr>
          <w:p>
            <w:r/>
            <w:r>
              <w:rPr>
                <w:sz w:val="18"/>
              </w:rPr>
              <w:t>0.07</w:t>
            </w:r>
          </w:p>
        </w:tc>
        <w:tc>
          <w:tcPr>
            <w:tcW w:type="dxa" w:w="1417"/>
            <w:shd w:val="clear" w:color="auto" w:fill="F2F6FB"/>
          </w:tcPr>
          <w:p>
            <w:r/>
            <w:r>
              <w:rPr>
                <w:sz w:val="18"/>
              </w:rPr>
              <w:t>+ (unfav)</w:t>
            </w:r>
          </w:p>
        </w:tc>
        <w:tc>
          <w:tcPr>
            <w:tcW w:type="dxa" w:w="3288"/>
            <w:shd w:val="clear" w:color="auto" w:fill="F2F6FB"/>
          </w:tcPr>
          <w:p>
            <w:r/>
            <w:r>
              <w:rPr>
                <w:sz w:val="18"/>
              </w:rPr>
              <w:t>IDF 2006³⁴</w:t>
            </w:r>
          </w:p>
        </w:tc>
      </w:tr>
      <w:tr>
        <w:tc>
          <w:tcPr>
            <w:tcW w:type="dxa" w:w="454"/>
          </w:tcPr>
          <w:p>
            <w:r/>
            <w:r>
              <w:rPr>
                <w:b/>
                <w:sz w:val="18"/>
              </w:rPr>
              <w:t>5</w:t>
            </w:r>
          </w:p>
        </w:tc>
        <w:tc>
          <w:tcPr>
            <w:tcW w:type="dxa" w:w="2551"/>
          </w:tcPr>
          <w:p>
            <w:r/>
            <w:r>
              <w:rPr>
                <w:sz w:val="18"/>
              </w:rPr>
              <w:t>HDL-cholesterol</w:t>
            </w:r>
          </w:p>
        </w:tc>
        <w:tc>
          <w:tcPr>
            <w:tcW w:type="dxa" w:w="964"/>
          </w:tcPr>
          <w:p>
            <w:r/>
            <w:r>
              <w:rPr>
                <w:sz w:val="18"/>
              </w:rPr>
              <w:t>mmol/L</w:t>
            </w:r>
          </w:p>
        </w:tc>
        <w:tc>
          <w:tcPr>
            <w:tcW w:type="dxa" w:w="964"/>
          </w:tcPr>
          <w:p>
            <w:r/>
            <w:r>
              <w:rPr>
                <w:sz w:val="18"/>
              </w:rPr>
              <w:t>0.07</w:t>
            </w:r>
          </w:p>
        </w:tc>
        <w:tc>
          <w:tcPr>
            <w:tcW w:type="dxa" w:w="1417"/>
          </w:tcPr>
          <w:p>
            <w:r/>
            <w:r>
              <w:rPr>
                <w:sz w:val="18"/>
              </w:rPr>
              <w:t>− (fav)</w:t>
            </w:r>
          </w:p>
        </w:tc>
        <w:tc>
          <w:tcPr>
            <w:tcW w:type="dxa" w:w="3288"/>
          </w:tcPr>
          <w:p>
            <w:r/>
            <w:r>
              <w:rPr>
                <w:sz w:val="18"/>
              </w:rPr>
              <w:t>IDF 2006³⁴</w:t>
            </w:r>
          </w:p>
        </w:tc>
      </w:tr>
      <w:tr>
        <w:tc>
          <w:tcPr>
            <w:tcW w:type="dxa" w:w="454"/>
            <w:shd w:val="clear" w:color="auto" w:fill="F2F6FB"/>
          </w:tcPr>
          <w:p>
            <w:r/>
            <w:r>
              <w:rPr>
                <w:b/>
                <w:sz w:val="18"/>
              </w:rPr>
              <w:t>6</w:t>
            </w:r>
          </w:p>
        </w:tc>
        <w:tc>
          <w:tcPr>
            <w:tcW w:type="dxa" w:w="2551"/>
            <w:shd w:val="clear" w:color="auto" w:fill="F2F6FB"/>
          </w:tcPr>
          <w:p>
            <w:r/>
            <w:r>
              <w:rPr>
                <w:sz w:val="18"/>
              </w:rPr>
              <w:t>LDL-cholesterol</w:t>
            </w:r>
          </w:p>
        </w:tc>
        <w:tc>
          <w:tcPr>
            <w:tcW w:type="dxa" w:w="964"/>
            <w:shd w:val="clear" w:color="auto" w:fill="F2F6FB"/>
          </w:tcPr>
          <w:p>
            <w:r/>
            <w:r>
              <w:rPr>
                <w:sz w:val="18"/>
              </w:rPr>
              <w:t>mmol/L</w:t>
            </w:r>
          </w:p>
        </w:tc>
        <w:tc>
          <w:tcPr>
            <w:tcW w:type="dxa" w:w="964"/>
            <w:shd w:val="clear" w:color="auto" w:fill="F2F6FB"/>
          </w:tcPr>
          <w:p>
            <w:r/>
            <w:r>
              <w:rPr>
                <w:sz w:val="18"/>
              </w:rPr>
              <w:t>0.05</w:t>
            </w:r>
          </w:p>
        </w:tc>
        <w:tc>
          <w:tcPr>
            <w:tcW w:type="dxa" w:w="1417"/>
            <w:shd w:val="clear" w:color="auto" w:fill="F2F6FB"/>
          </w:tcPr>
          <w:p>
            <w:r/>
            <w:r>
              <w:rPr>
                <w:sz w:val="18"/>
              </w:rPr>
              <w:t>+ (unfav)</w:t>
            </w:r>
          </w:p>
        </w:tc>
        <w:tc>
          <w:tcPr>
            <w:tcW w:type="dxa" w:w="3288"/>
            <w:shd w:val="clear" w:color="auto" w:fill="F2F6FB"/>
          </w:tcPr>
          <w:p>
            <w:r/>
            <w:r>
              <w:rPr>
                <w:sz w:val="18"/>
              </w:rPr>
              <w:t>Friedewald</w:t>
            </w:r>
          </w:p>
        </w:tc>
      </w:tr>
      <w:tr>
        <w:tc>
          <w:tcPr>
            <w:tcW w:type="dxa" w:w="454"/>
          </w:tcPr>
          <w:p>
            <w:r/>
            <w:r>
              <w:rPr>
                <w:b/>
                <w:sz w:val="18"/>
              </w:rPr>
              <w:t>7</w:t>
            </w:r>
          </w:p>
        </w:tc>
        <w:tc>
          <w:tcPr>
            <w:tcW w:type="dxa" w:w="2551"/>
          </w:tcPr>
          <w:p>
            <w:r/>
            <w:r>
              <w:rPr>
                <w:sz w:val="18"/>
              </w:rPr>
              <w:t>TG/HDL ratio</w:t>
            </w:r>
          </w:p>
        </w:tc>
        <w:tc>
          <w:tcPr>
            <w:tcW w:type="dxa" w:w="964"/>
          </w:tcPr>
          <w:p>
            <w:r/>
            <w:r>
              <w:rPr>
                <w:sz w:val="18"/>
              </w:rPr>
              <w:t>,</w:t>
            </w:r>
          </w:p>
        </w:tc>
        <w:tc>
          <w:tcPr>
            <w:tcW w:type="dxa" w:w="964"/>
          </w:tcPr>
          <w:p>
            <w:r/>
            <w:r>
              <w:rPr>
                <w:sz w:val="18"/>
              </w:rPr>
              <w:t>0.06</w:t>
            </w:r>
          </w:p>
        </w:tc>
        <w:tc>
          <w:tcPr>
            <w:tcW w:type="dxa" w:w="1417"/>
          </w:tcPr>
          <w:p>
            <w:r/>
            <w:r>
              <w:rPr>
                <w:sz w:val="18"/>
              </w:rPr>
              <w:t>+ (unfav)</w:t>
            </w:r>
          </w:p>
        </w:tc>
        <w:tc>
          <w:tcPr>
            <w:tcW w:type="dxa" w:w="3288"/>
          </w:tcPr>
          <w:p>
            <w:r/>
            <w:r>
              <w:rPr>
                <w:sz w:val="18"/>
              </w:rPr>
              <w:t>Contois⁴²</w:t>
            </w:r>
          </w:p>
        </w:tc>
      </w:tr>
      <w:tr>
        <w:tc>
          <w:tcPr>
            <w:tcW w:type="dxa" w:w="454"/>
            <w:shd w:val="clear" w:color="auto" w:fill="F2F6FB"/>
          </w:tcPr>
          <w:p>
            <w:r/>
            <w:r>
              <w:rPr>
                <w:b/>
                <w:sz w:val="18"/>
              </w:rPr>
              <w:t>8</w:t>
            </w:r>
          </w:p>
        </w:tc>
        <w:tc>
          <w:tcPr>
            <w:tcW w:type="dxa" w:w="2551"/>
            <w:shd w:val="clear" w:color="auto" w:fill="F2F6FB"/>
          </w:tcPr>
          <w:p>
            <w:r/>
            <w:r>
              <w:rPr>
                <w:sz w:val="18"/>
              </w:rPr>
              <w:t>hs-CRP</w:t>
            </w:r>
          </w:p>
        </w:tc>
        <w:tc>
          <w:tcPr>
            <w:tcW w:type="dxa" w:w="964"/>
            <w:shd w:val="clear" w:color="auto" w:fill="F2F6FB"/>
          </w:tcPr>
          <w:p>
            <w:r/>
            <w:r>
              <w:rPr>
                <w:sz w:val="18"/>
              </w:rPr>
              <w:t>mg/L</w:t>
            </w:r>
          </w:p>
        </w:tc>
        <w:tc>
          <w:tcPr>
            <w:tcW w:type="dxa" w:w="964"/>
            <w:shd w:val="clear" w:color="auto" w:fill="F2F6FB"/>
          </w:tcPr>
          <w:p>
            <w:r/>
            <w:r>
              <w:rPr>
                <w:sz w:val="18"/>
              </w:rPr>
              <w:t>0.06</w:t>
            </w:r>
          </w:p>
        </w:tc>
        <w:tc>
          <w:tcPr>
            <w:tcW w:type="dxa" w:w="1417"/>
            <w:shd w:val="clear" w:color="auto" w:fill="F2F6FB"/>
          </w:tcPr>
          <w:p>
            <w:r/>
            <w:r>
              <w:rPr>
                <w:sz w:val="18"/>
              </w:rPr>
              <w:t>+ (unfav)</w:t>
            </w:r>
          </w:p>
        </w:tc>
        <w:tc>
          <w:tcPr>
            <w:tcW w:type="dxa" w:w="3288"/>
            <w:shd w:val="clear" w:color="auto" w:fill="F2F6FB"/>
          </w:tcPr>
          <w:p>
            <w:r/>
            <w:r>
              <w:rPr>
                <w:sz w:val="18"/>
              </w:rPr>
              <w:t>—</w:t>
            </w:r>
          </w:p>
        </w:tc>
      </w:tr>
      <w:tr>
        <w:tc>
          <w:tcPr>
            <w:tcW w:type="dxa" w:w="454"/>
          </w:tcPr>
          <w:p>
            <w:r/>
            <w:r>
              <w:rPr>
                <w:b/>
                <w:sz w:val="18"/>
              </w:rPr>
              <w:t>9</w:t>
            </w:r>
          </w:p>
        </w:tc>
        <w:tc>
          <w:tcPr>
            <w:tcW w:type="dxa" w:w="2551"/>
          </w:tcPr>
          <w:p>
            <w:r/>
            <w:r>
              <w:rPr>
                <w:sz w:val="18"/>
              </w:rPr>
              <w:t>Uric acid</w:t>
            </w:r>
          </w:p>
        </w:tc>
        <w:tc>
          <w:tcPr>
            <w:tcW w:type="dxa" w:w="964"/>
          </w:tcPr>
          <w:p>
            <w:r/>
            <w:r>
              <w:rPr>
                <w:sz w:val="18"/>
              </w:rPr>
              <w:t>μmol/L</w:t>
            </w:r>
          </w:p>
        </w:tc>
        <w:tc>
          <w:tcPr>
            <w:tcW w:type="dxa" w:w="964"/>
          </w:tcPr>
          <w:p>
            <w:r/>
            <w:r>
              <w:rPr>
                <w:sz w:val="18"/>
              </w:rPr>
              <w:t>0.04</w:t>
            </w:r>
          </w:p>
        </w:tc>
        <w:tc>
          <w:tcPr>
            <w:tcW w:type="dxa" w:w="1417"/>
          </w:tcPr>
          <w:p>
            <w:r/>
            <w:r>
              <w:rPr>
                <w:sz w:val="18"/>
              </w:rPr>
              <w:t>+ (unfav)</w:t>
            </w:r>
          </w:p>
        </w:tc>
        <w:tc>
          <w:tcPr>
            <w:tcW w:type="dxa" w:w="3288"/>
          </w:tcPr>
          <w:p>
            <w:r/>
            <w:r>
              <w:rPr>
                <w:sz w:val="18"/>
              </w:rPr>
              <w:t>,</w:t>
            </w:r>
          </w:p>
        </w:tc>
      </w:tr>
      <w:tr>
        <w:tc>
          <w:tcPr>
            <w:tcW w:type="dxa" w:w="454"/>
            <w:shd w:val="clear" w:color="auto" w:fill="F2F6FB"/>
          </w:tcPr>
          <w:p>
            <w:r/>
            <w:r>
              <w:rPr>
                <w:b/>
                <w:sz w:val="18"/>
              </w:rPr>
              <w:t>10</w:t>
            </w:r>
          </w:p>
        </w:tc>
        <w:tc>
          <w:tcPr>
            <w:tcW w:type="dxa" w:w="2551"/>
            <w:shd w:val="clear" w:color="auto" w:fill="F2F6FB"/>
          </w:tcPr>
          <w:p>
            <w:r/>
            <w:r>
              <w:rPr>
                <w:sz w:val="18"/>
              </w:rPr>
              <w:t>GGT</w:t>
            </w:r>
          </w:p>
        </w:tc>
        <w:tc>
          <w:tcPr>
            <w:tcW w:type="dxa" w:w="964"/>
            <w:shd w:val="clear" w:color="auto" w:fill="F2F6FB"/>
          </w:tcPr>
          <w:p>
            <w:r/>
            <w:r>
              <w:rPr>
                <w:sz w:val="18"/>
              </w:rPr>
              <w:t>U/L</w:t>
            </w:r>
          </w:p>
        </w:tc>
        <w:tc>
          <w:tcPr>
            <w:tcW w:type="dxa" w:w="964"/>
            <w:shd w:val="clear" w:color="auto" w:fill="F2F6FB"/>
          </w:tcPr>
          <w:p>
            <w:r/>
            <w:r>
              <w:rPr>
                <w:sz w:val="18"/>
              </w:rPr>
              <w:t>0.04</w:t>
            </w:r>
          </w:p>
        </w:tc>
        <w:tc>
          <w:tcPr>
            <w:tcW w:type="dxa" w:w="1417"/>
            <w:shd w:val="clear" w:color="auto" w:fill="F2F6FB"/>
          </w:tcPr>
          <w:p>
            <w:r/>
            <w:r>
              <w:rPr>
                <w:sz w:val="18"/>
              </w:rPr>
              <w:t>+ (unfav)</w:t>
            </w:r>
          </w:p>
        </w:tc>
        <w:tc>
          <w:tcPr>
            <w:tcW w:type="dxa" w:w="3288"/>
            <w:shd w:val="clear" w:color="auto" w:fill="F2F6FB"/>
          </w:tcPr>
          <w:p>
            <w:r/>
            <w:r>
              <w:rPr>
                <w:sz w:val="18"/>
              </w:rPr>
              <w:t>,</w:t>
            </w:r>
          </w:p>
        </w:tc>
      </w:tr>
      <w:tr>
        <w:tc>
          <w:tcPr>
            <w:tcW w:type="dxa" w:w="454"/>
          </w:tcPr>
          <w:p>
            <w:r/>
            <w:r>
              <w:rPr>
                <w:b/>
                <w:sz w:val="18"/>
              </w:rPr>
              <w:t>11</w:t>
            </w:r>
          </w:p>
        </w:tc>
        <w:tc>
          <w:tcPr>
            <w:tcW w:type="dxa" w:w="2551"/>
          </w:tcPr>
          <w:p>
            <w:r/>
            <w:r>
              <w:rPr>
                <w:sz w:val="18"/>
              </w:rPr>
              <w:t>ApoB</w:t>
            </w:r>
          </w:p>
        </w:tc>
        <w:tc>
          <w:tcPr>
            <w:tcW w:type="dxa" w:w="964"/>
          </w:tcPr>
          <w:p>
            <w:r/>
            <w:r>
              <w:rPr>
                <w:sz w:val="18"/>
              </w:rPr>
              <w:t>g/L</w:t>
            </w:r>
          </w:p>
        </w:tc>
        <w:tc>
          <w:tcPr>
            <w:tcW w:type="dxa" w:w="964"/>
          </w:tcPr>
          <w:p>
            <w:r/>
            <w:r>
              <w:rPr>
                <w:sz w:val="18"/>
              </w:rPr>
              <w:t>0.05</w:t>
            </w:r>
          </w:p>
        </w:tc>
        <w:tc>
          <w:tcPr>
            <w:tcW w:type="dxa" w:w="1417"/>
          </w:tcPr>
          <w:p>
            <w:r/>
            <w:r>
              <w:rPr>
                <w:sz w:val="18"/>
              </w:rPr>
              <w:t>+ (unfav)</w:t>
            </w:r>
          </w:p>
        </w:tc>
        <w:tc>
          <w:tcPr>
            <w:tcW w:type="dxa" w:w="3288"/>
          </w:tcPr>
          <w:p>
            <w:r/>
            <w:r>
              <w:rPr>
                <w:sz w:val="18"/>
              </w:rPr>
              <w:t>Contois⁴²</w:t>
            </w:r>
          </w:p>
        </w:tc>
      </w:tr>
      <w:tr>
        <w:tc>
          <w:tcPr>
            <w:tcW w:type="dxa" w:w="454"/>
            <w:shd w:val="clear" w:color="auto" w:fill="F2F6FB"/>
          </w:tcPr>
          <w:p>
            <w:r/>
            <w:r>
              <w:rPr>
                <w:b/>
                <w:sz w:val="18"/>
              </w:rPr>
              <w:t>12</w:t>
            </w:r>
          </w:p>
        </w:tc>
        <w:tc>
          <w:tcPr>
            <w:tcW w:type="dxa" w:w="2551"/>
            <w:shd w:val="clear" w:color="auto" w:fill="F2F6FB"/>
          </w:tcPr>
          <w:p>
            <w:r/>
            <w:r>
              <w:rPr>
                <w:sz w:val="18"/>
              </w:rPr>
              <w:t>Adiponectin</w:t>
            </w:r>
          </w:p>
        </w:tc>
        <w:tc>
          <w:tcPr>
            <w:tcW w:type="dxa" w:w="964"/>
            <w:shd w:val="clear" w:color="auto" w:fill="F2F6FB"/>
          </w:tcPr>
          <w:p>
            <w:r/>
            <w:r>
              <w:rPr>
                <w:sz w:val="18"/>
              </w:rPr>
              <w:t>μg/mL</w:t>
            </w:r>
          </w:p>
        </w:tc>
        <w:tc>
          <w:tcPr>
            <w:tcW w:type="dxa" w:w="964"/>
            <w:shd w:val="clear" w:color="auto" w:fill="F2F6FB"/>
          </w:tcPr>
          <w:p>
            <w:r/>
            <w:r>
              <w:rPr>
                <w:sz w:val="18"/>
              </w:rPr>
              <w:t>0.05</w:t>
            </w:r>
          </w:p>
        </w:tc>
        <w:tc>
          <w:tcPr>
            <w:tcW w:type="dxa" w:w="1417"/>
            <w:shd w:val="clear" w:color="auto" w:fill="F2F6FB"/>
          </w:tcPr>
          <w:p>
            <w:r/>
            <w:r>
              <w:rPr>
                <w:sz w:val="18"/>
              </w:rPr>
              <w:t>− (fav)</w:t>
            </w:r>
          </w:p>
        </w:tc>
        <w:tc>
          <w:tcPr>
            <w:tcW w:type="dxa" w:w="3288"/>
            <w:shd w:val="clear" w:color="auto" w:fill="F2F6FB"/>
          </w:tcPr>
          <w:p>
            <w:r/>
            <w:r>
              <w:rPr>
                <w:sz w:val="18"/>
              </w:rPr>
              <w:t>Arita⁴⁰</w:t>
            </w:r>
          </w:p>
        </w:tc>
      </w:tr>
      <w:tr>
        <w:tc>
          <w:tcPr>
            <w:tcW w:type="dxa" w:w="454"/>
          </w:tcPr>
          <w:p>
            <w:r/>
            <w:r>
              <w:rPr>
                <w:b/>
                <w:sz w:val="18"/>
              </w:rPr>
              <w:t>13</w:t>
            </w:r>
          </w:p>
        </w:tc>
        <w:tc>
          <w:tcPr>
            <w:tcW w:type="dxa" w:w="2551"/>
          </w:tcPr>
          <w:p>
            <w:r/>
            <w:r>
              <w:rPr>
                <w:sz w:val="18"/>
              </w:rPr>
              <w:t>Leptin</w:t>
            </w:r>
          </w:p>
        </w:tc>
        <w:tc>
          <w:tcPr>
            <w:tcW w:type="dxa" w:w="964"/>
          </w:tcPr>
          <w:p>
            <w:r/>
            <w:r>
              <w:rPr>
                <w:sz w:val="18"/>
              </w:rPr>
              <w:t>ng/mL</w:t>
            </w:r>
          </w:p>
        </w:tc>
        <w:tc>
          <w:tcPr>
            <w:tcW w:type="dxa" w:w="964"/>
          </w:tcPr>
          <w:p>
            <w:r/>
            <w:r>
              <w:rPr>
                <w:sz w:val="18"/>
              </w:rPr>
              <w:t>0.04</w:t>
            </w:r>
          </w:p>
        </w:tc>
        <w:tc>
          <w:tcPr>
            <w:tcW w:type="dxa" w:w="1417"/>
          </w:tcPr>
          <w:p>
            <w:r/>
            <w:r>
              <w:rPr>
                <w:sz w:val="18"/>
              </w:rPr>
              <w:t>+ (unfav)</w:t>
            </w:r>
          </w:p>
        </w:tc>
        <w:tc>
          <w:tcPr>
            <w:tcW w:type="dxa" w:w="3288"/>
          </w:tcPr>
          <w:p>
            <w:r/>
            <w:r>
              <w:rPr>
                <w:sz w:val="18"/>
              </w:rPr>
              <w:t>Considine⁴¹</w:t>
            </w:r>
          </w:p>
        </w:tc>
      </w:tr>
      <w:tr>
        <w:tc>
          <w:tcPr>
            <w:tcW w:type="dxa" w:w="454"/>
            <w:shd w:val="clear" w:color="auto" w:fill="F2F6FB"/>
          </w:tcPr>
          <w:p>
            <w:r/>
            <w:r>
              <w:rPr>
                <w:b/>
                <w:sz w:val="18"/>
              </w:rPr>
              <w:t>14</w:t>
            </w:r>
          </w:p>
        </w:tc>
        <w:tc>
          <w:tcPr>
            <w:tcW w:type="dxa" w:w="2551"/>
            <w:shd w:val="clear" w:color="auto" w:fill="F2F6FB"/>
          </w:tcPr>
          <w:p>
            <w:r/>
            <w:r>
              <w:rPr>
                <w:sz w:val="18"/>
              </w:rPr>
              <w:t>TSH</w:t>
            </w:r>
          </w:p>
        </w:tc>
        <w:tc>
          <w:tcPr>
            <w:tcW w:type="dxa" w:w="964"/>
            <w:shd w:val="clear" w:color="auto" w:fill="F2F6FB"/>
          </w:tcPr>
          <w:p>
            <w:r/>
            <w:r>
              <w:rPr>
                <w:sz w:val="18"/>
              </w:rPr>
              <w:t>mIU/L</w:t>
            </w:r>
          </w:p>
        </w:tc>
        <w:tc>
          <w:tcPr>
            <w:tcW w:type="dxa" w:w="964"/>
            <w:shd w:val="clear" w:color="auto" w:fill="F2F6FB"/>
          </w:tcPr>
          <w:p>
            <w:r/>
            <w:r>
              <w:rPr>
                <w:sz w:val="18"/>
              </w:rPr>
              <w:t>0.03</w:t>
            </w:r>
          </w:p>
        </w:tc>
        <w:tc>
          <w:tcPr>
            <w:tcW w:type="dxa" w:w="1417"/>
            <w:shd w:val="clear" w:color="auto" w:fill="F2F6FB"/>
          </w:tcPr>
          <w:p>
            <w:r/>
            <w:r>
              <w:rPr>
                <w:sz w:val="18"/>
              </w:rPr>
              <w:t>+ (unfav)</w:t>
            </w:r>
          </w:p>
        </w:tc>
        <w:tc>
          <w:tcPr>
            <w:tcW w:type="dxa" w:w="3288"/>
            <w:shd w:val="clear" w:color="auto" w:fill="F2F6FB"/>
          </w:tcPr>
          <w:p>
            <w:r/>
            <w:r>
              <w:rPr>
                <w:sz w:val="18"/>
              </w:rPr>
              <w:t>Hollowell⁴³</w:t>
            </w:r>
          </w:p>
        </w:tc>
      </w:tr>
      <w:tr>
        <w:tc>
          <w:tcPr>
            <w:tcW w:type="dxa" w:w="454"/>
          </w:tcPr>
          <w:p>
            <w:r/>
            <w:r>
              <w:rPr>
                <w:b/>
                <w:sz w:val="18"/>
              </w:rPr>
              <w:t>15</w:t>
            </w:r>
          </w:p>
        </w:tc>
        <w:tc>
          <w:tcPr>
            <w:tcW w:type="dxa" w:w="2551"/>
          </w:tcPr>
          <w:p>
            <w:r/>
            <w:r>
              <w:rPr>
                <w:sz w:val="18"/>
              </w:rPr>
              <w:t>C-peptide (v3.5)</w:t>
            </w:r>
          </w:p>
        </w:tc>
        <w:tc>
          <w:tcPr>
            <w:tcW w:type="dxa" w:w="964"/>
          </w:tcPr>
          <w:p>
            <w:r/>
            <w:r>
              <w:rPr>
                <w:sz w:val="18"/>
              </w:rPr>
              <w:t>ng/mL</w:t>
            </w:r>
          </w:p>
        </w:tc>
        <w:tc>
          <w:tcPr>
            <w:tcW w:type="dxa" w:w="964"/>
          </w:tcPr>
          <w:p>
            <w:r/>
            <w:r>
              <w:rPr>
                <w:sz w:val="18"/>
              </w:rPr>
              <w:t>0.06</w:t>
            </w:r>
          </w:p>
        </w:tc>
        <w:tc>
          <w:tcPr>
            <w:tcW w:type="dxa" w:w="1417"/>
          </w:tcPr>
          <w:p>
            <w:r/>
            <w:r>
              <w:rPr>
                <w:sz w:val="18"/>
              </w:rPr>
              <w:t>− (fav)</w:t>
            </w:r>
          </w:p>
        </w:tc>
        <w:tc>
          <w:tcPr>
            <w:tcW w:type="dxa" w:w="3288"/>
          </w:tcPr>
          <w:p>
            <w:r/>
            <w:r>
              <w:rPr>
                <w:sz w:val="18"/>
              </w:rPr>
              <w:t>Nauck²⁵</w:t>
            </w:r>
          </w:p>
        </w:tc>
      </w:tr>
      <w:tr>
        <w:tc>
          <w:tcPr>
            <w:tcW w:type="dxa" w:w="454"/>
            <w:shd w:val="clear" w:color="auto" w:fill="F2F6FB"/>
          </w:tcPr>
          <w:p>
            <w:r/>
            <w:r>
              <w:rPr>
                <w:b/>
                <w:sz w:val="18"/>
              </w:rPr>
              <w:t>16</w:t>
            </w:r>
          </w:p>
        </w:tc>
        <w:tc>
          <w:tcPr>
            <w:tcW w:type="dxa" w:w="2551"/>
            <w:shd w:val="clear" w:color="auto" w:fill="F2F6FB"/>
          </w:tcPr>
          <w:p>
            <w:r/>
            <w:r>
              <w:rPr>
                <w:sz w:val="18"/>
              </w:rPr>
              <w:t>FGF21 (v3.5)</w:t>
            </w:r>
          </w:p>
        </w:tc>
        <w:tc>
          <w:tcPr>
            <w:tcW w:type="dxa" w:w="964"/>
            <w:shd w:val="clear" w:color="auto" w:fill="F2F6FB"/>
          </w:tcPr>
          <w:p>
            <w:r/>
            <w:r>
              <w:rPr>
                <w:sz w:val="18"/>
              </w:rPr>
              <w:t>pg/mL</w:t>
            </w:r>
          </w:p>
        </w:tc>
        <w:tc>
          <w:tcPr>
            <w:tcW w:type="dxa" w:w="964"/>
            <w:shd w:val="clear" w:color="auto" w:fill="F2F6FB"/>
          </w:tcPr>
          <w:p>
            <w:r/>
            <w:r>
              <w:rPr>
                <w:sz w:val="18"/>
              </w:rPr>
              <w:t>0.04</w:t>
            </w:r>
          </w:p>
        </w:tc>
        <w:tc>
          <w:tcPr>
            <w:tcW w:type="dxa" w:w="1417"/>
            <w:shd w:val="clear" w:color="auto" w:fill="F2F6FB"/>
          </w:tcPr>
          <w:p>
            <w:r/>
            <w:r>
              <w:rPr>
                <w:sz w:val="18"/>
              </w:rPr>
              <w:t>+ (unfav)</w:t>
            </w:r>
          </w:p>
        </w:tc>
        <w:tc>
          <w:tcPr>
            <w:tcW w:type="dxa" w:w="3288"/>
            <w:shd w:val="clear" w:color="auto" w:fill="F2F6FB"/>
          </w:tcPr>
          <w:p>
            <w:r/>
            <w:r>
              <w:rPr>
                <w:sz w:val="18"/>
              </w:rPr>
              <w:t>Le²⁷</w:t>
            </w:r>
          </w:p>
        </w:tc>
      </w:tr>
      <w:tr>
        <w:tc>
          <w:tcPr>
            <w:tcW w:type="dxa" w:w="454"/>
          </w:tcPr>
          <w:p>
            <w:r/>
            <w:r>
              <w:rPr>
                <w:b/>
                <w:sz w:val="18"/>
              </w:rPr>
              <w:t>17</w:t>
            </w:r>
          </w:p>
        </w:tc>
        <w:tc>
          <w:tcPr>
            <w:tcW w:type="dxa" w:w="2551"/>
          </w:tcPr>
          <w:p>
            <w:r/>
            <w:r>
              <w:rPr>
                <w:sz w:val="18"/>
              </w:rPr>
              <w:t>Fasting glucagon (v3.5)</w:t>
            </w:r>
          </w:p>
        </w:tc>
        <w:tc>
          <w:tcPr>
            <w:tcW w:type="dxa" w:w="964"/>
          </w:tcPr>
          <w:p>
            <w:r/>
            <w:r>
              <w:rPr>
                <w:sz w:val="18"/>
              </w:rPr>
              <w:t>pg/mL</w:t>
            </w:r>
          </w:p>
        </w:tc>
        <w:tc>
          <w:tcPr>
            <w:tcW w:type="dxa" w:w="964"/>
          </w:tcPr>
          <w:p>
            <w:r/>
            <w:r>
              <w:rPr>
                <w:sz w:val="18"/>
              </w:rPr>
              <w:t>0.04</w:t>
            </w:r>
          </w:p>
        </w:tc>
        <w:tc>
          <w:tcPr>
            <w:tcW w:type="dxa" w:w="1417"/>
          </w:tcPr>
          <w:p>
            <w:r/>
            <w:r>
              <w:rPr>
                <w:sz w:val="18"/>
              </w:rPr>
              <w:t>+ (unfav)</w:t>
            </w:r>
          </w:p>
        </w:tc>
        <w:tc>
          <w:tcPr>
            <w:tcW w:type="dxa" w:w="3288"/>
          </w:tcPr>
          <w:p>
            <w:r/>
            <w:r>
              <w:rPr>
                <w:sz w:val="18"/>
              </w:rPr>
              <w:t>Lund²⁶</w:t>
            </w:r>
          </w:p>
        </w:tc>
      </w:tr>
      <w:tr>
        <w:tc>
          <w:tcPr>
            <w:tcW w:type="dxa" w:w="454"/>
            <w:shd w:val="clear" w:color="auto" w:fill="F2F6FB"/>
          </w:tcPr>
          <w:p>
            <w:r/>
            <w:r>
              <w:rPr>
                <w:b/>
                <w:sz w:val="18"/>
              </w:rPr>
              <w:t>18</w:t>
            </w:r>
          </w:p>
        </w:tc>
        <w:tc>
          <w:tcPr>
            <w:tcW w:type="dxa" w:w="2551"/>
            <w:shd w:val="clear" w:color="auto" w:fill="F2F6FB"/>
          </w:tcPr>
          <w:p>
            <w:r/>
            <w:r>
              <w:rPr>
                <w:sz w:val="18"/>
              </w:rPr>
              <w:t>Insulin</w:t>
            </w:r>
          </w:p>
        </w:tc>
        <w:tc>
          <w:tcPr>
            <w:tcW w:type="dxa" w:w="964"/>
            <w:shd w:val="clear" w:color="auto" w:fill="F2F6FB"/>
          </w:tcPr>
          <w:p>
            <w:r/>
            <w:r>
              <w:rPr>
                <w:sz w:val="18"/>
              </w:rPr>
              <w:t>μU/mL</w:t>
            </w:r>
          </w:p>
        </w:tc>
        <w:tc>
          <w:tcPr>
            <w:tcW w:type="dxa" w:w="964"/>
            <w:shd w:val="clear" w:color="auto" w:fill="F2F6FB"/>
          </w:tcPr>
          <w:p>
            <w:r/>
            <w:r>
              <w:rPr>
                <w:sz w:val="18"/>
              </w:rPr>
              <w:t>0.04</w:t>
            </w:r>
          </w:p>
        </w:tc>
        <w:tc>
          <w:tcPr>
            <w:tcW w:type="dxa" w:w="1417"/>
            <w:shd w:val="clear" w:color="auto" w:fill="F2F6FB"/>
          </w:tcPr>
          <w:p>
            <w:r/>
            <w:r>
              <w:rPr>
                <w:sz w:val="18"/>
              </w:rPr>
              <w:t>+ (unfav)</w:t>
            </w:r>
          </w:p>
        </w:tc>
        <w:tc>
          <w:tcPr>
            <w:tcW w:type="dxa" w:w="3288"/>
            <w:shd w:val="clear" w:color="auto" w:fill="F2F6FB"/>
          </w:tcPr>
          <w:p>
            <w:r/>
            <w:r>
              <w:rPr>
                <w:sz w:val="18"/>
              </w:rPr>
              <w:t>Matthews 1985</w:t>
            </w:r>
          </w:p>
        </w:tc>
      </w:tr>
    </w:tbl>
    <w:p>
      <w:pPr>
        <w:keepNext/>
        <w:spacing w:before="240" w:after="120"/>
      </w:pPr>
      <w:r>
        <w:rPr>
          <w:b/>
          <w:color w:val="2E5C8A"/>
          <w:sz w:val="24"/>
        </w:rPr>
        <w:t>M2.2, Adaptive z-score handling</w:t>
      </w:r>
    </w:p>
    <w:p>
      <w:pPr>
        <w:jc w:val="both"/>
      </w:pPr>
      <w:r>
        <w:rPr>
          <w:b w:val="0"/>
          <w:i w:val="0"/>
        </w:rPr>
        <w:t>The 'adaptive' qualifier refers to two mechanisms: (a) ethnic-specific reference ranges where validated (e.g. HbA1c, hs-CRP, adiponectin); (b) sex-specific reference ranges for HDL, uric acid, leptin. Reference values are stored in the JavaScript engine as a 12-ethnic × 2-sex × 18-indicator matrix; for NHANES analysis the five RIDRETH3 categories were mapped onto the closest applicable ancestry group (Suppl. Table S2).</w:t>
      </w:r>
    </w:p>
    <w:p>
      <w:pPr>
        <w:jc w:val="both"/>
      </w:pPr>
      <w:r>
        <w:rPr>
          <w:b w:val="0"/>
          <w:i w:val="0"/>
        </w:rPr>
        <w:t>z_i = clip((x_i − μ_ref(ethnic, sex)) / σ_ref(ethnic, sex), −4, +4)</w:t>
      </w:r>
    </w:p>
    <w:p>
      <w:r>
        <w:br w:type="page"/>
      </w:r>
    </w:p>
    <w:p>
      <w:pPr>
        <w:keepNext/>
        <w:spacing w:before="360" w:after="160"/>
      </w:pPr>
      <w:r>
        <w:rPr>
          <w:b/>
          <w:color w:val="1F3864"/>
          <w:sz w:val="28"/>
        </w:rPr>
        <w:t>M3. Dynamic Weighting Logic. Final Score sf</w:t>
      </w:r>
    </w:p>
    <w:p>
      <w:pPr>
        <w:jc w:val="both"/>
      </w:pPr>
      <w:r>
        <w:rPr>
          <w:b w:val="0"/>
          <w:i w:val="0"/>
        </w:rPr>
        <w:t>The final BMN score sf combines the declarative and biological components with weights that adapt to the completeness of available biomarker data:</w:t>
      </w:r>
    </w:p>
    <w:p>
      <w:pPr>
        <w:spacing w:before="160" w:after="160"/>
        <w:jc w:val="center"/>
      </w:pPr>
      <w:r>
        <w:rPr>
          <w:rFonts w:ascii="Courier New" w:hAnsi="Courier New"/>
          <w:color w:val="1A1A1A"/>
          <w:sz w:val="20"/>
        </w:rPr>
        <w:t>sf = w_Decl × sD + w_Bio × bioNorm    (constraint: w_Decl + w_Bio = 1)</w:t>
      </w:r>
    </w:p>
    <w:p>
      <w:pPr>
        <w:keepNext/>
        <w:spacing w:before="240" w:after="120"/>
      </w:pPr>
      <w:r>
        <w:rPr>
          <w:b/>
          <w:color w:val="2E5C8A"/>
          <w:sz w:val="24"/>
        </w:rPr>
        <w:t>M3.1, Adaptive Weight Determination</w:t>
      </w:r>
    </w:p>
    <w:p>
      <w:pPr>
        <w:jc w:val="both"/>
      </w:pPr>
      <w:r>
        <w:rPr>
          <w:b w:val="0"/>
          <w:i w:val="0"/>
        </w:rPr>
        <w:t>Let k = number of bioNorm indicators with valid measurements (0 ≤ k ≤ 18). The biological weight scales with measurement coverage:</w:t>
      </w:r>
    </w:p>
    <w:tbl>
      <w:tblPr>
        <w:tblW w:type="auto" w:w="0"/>
        <w:tblLayout w:type="fixed"/>
        <w:tblLook w:firstColumn="1" w:firstRow="1" w:lastColumn="0" w:lastRow="0" w:noHBand="0" w:noVBand="1" w:val="04A0"/>
      </w:tblPr>
      <w:tblGrid>
        <w:gridCol w:w="9972"/>
      </w:tblGrid>
      <w:tr>
        <w:tc>
          <w:tcPr>
            <w:tcW w:type="dxa" w:w="9638"/>
            <w:shd w:val="clear" w:color="auto" w:fill="F5F5F5"/>
          </w:tcPr>
          <w:p>
            <w:pPr>
              <w:spacing w:after="0"/>
            </w:pPr>
            <w:r/>
            <w:r>
              <w:rPr>
                <w:rFonts w:ascii="Courier New" w:hAnsi="Courier New"/>
                <w:sz w:val="18"/>
              </w:rPr>
              <w:t>if k &gt;= 14:   w_Bio = 0.65     # full panel, biological data dominates</w:t>
            </w:r>
          </w:p>
          <w:p>
            <w:pPr>
              <w:spacing w:after="0"/>
            </w:pPr>
            <w:r>
              <w:rPr>
                <w:rFonts w:ascii="Courier New" w:hAnsi="Courier New"/>
                <w:sz w:val="18"/>
              </w:rPr>
              <w:t>elif k &gt;= 10: w_Bio = 0.55</w:t>
            </w:r>
          </w:p>
          <w:p>
            <w:pPr>
              <w:spacing w:after="0"/>
            </w:pPr>
            <w:r>
              <w:rPr>
                <w:rFonts w:ascii="Courier New" w:hAnsi="Courier New"/>
                <w:sz w:val="18"/>
              </w:rPr>
              <w:t>elif k &gt;= 6:  w_Bio = 0.45</w:t>
            </w:r>
          </w:p>
          <w:p>
            <w:pPr>
              <w:spacing w:after="0"/>
            </w:pPr>
            <w:r>
              <w:rPr>
                <w:rFonts w:ascii="Courier New" w:hAnsi="Courier New"/>
                <w:sz w:val="18"/>
              </w:rPr>
              <w:t>elif k &gt;= 3:  w_Bio = 0.35     # minimal panel, declarative dominates</w:t>
            </w:r>
          </w:p>
          <w:p>
            <w:pPr>
              <w:spacing w:after="0"/>
            </w:pPr>
            <w:r>
              <w:rPr>
                <w:rFonts w:ascii="Courier New" w:hAnsi="Courier New"/>
                <w:sz w:val="18"/>
              </w:rPr>
              <w:t>else:         w_Bio = 0.0      # insufficient data, sf = sD only</w:t>
            </w:r>
          </w:p>
          <w:p>
            <w:pPr>
              <w:spacing w:after="0"/>
            </w:pPr>
            <w:r>
              <w:rPr>
                <w:rFonts w:ascii="Courier New" w:hAnsi="Courier New"/>
                <w:sz w:val="18"/>
              </w:rPr>
            </w:r>
          </w:p>
          <w:p>
            <w:pPr>
              <w:spacing w:after="0"/>
            </w:pPr>
            <w:r>
              <w:rPr>
                <w:rFonts w:ascii="Courier New" w:hAnsi="Courier New"/>
                <w:sz w:val="18"/>
              </w:rPr>
              <w:t>w_Decl = 1.0 - w_Bio</w:t>
            </w:r>
          </w:p>
        </w:tc>
      </w:tr>
    </w:tbl>
    <w:p>
      <w:pPr>
        <w:keepNext/>
        <w:spacing w:before="240" w:after="120"/>
      </w:pPr>
      <w:r>
        <w:rPr>
          <w:b/>
          <w:color w:val="2E5C8A"/>
          <w:sz w:val="24"/>
        </w:rPr>
        <w:t>M3.2, Safety Floors</w:t>
      </w:r>
    </w:p>
    <w:p>
      <w:pPr>
        <w:jc w:val="both"/>
      </w:pPr>
      <w:r>
        <w:rPr>
          <w:b w:val="0"/>
          <w:i w:val="0"/>
        </w:rPr>
        <w:t>Three safety floors prevent extreme score compression when critical variables are missing or anomalous:</w:t>
      </w:r>
    </w:p>
    <w:tbl>
      <w:tblPr>
        <w:tblW w:type="auto" w:w="0"/>
        <w:tblLayout w:type="fixed"/>
        <w:tblLook w:firstColumn="1" w:firstRow="1" w:lastColumn="0" w:lastRow="0" w:noHBand="0" w:noVBand="1" w:val="04A0"/>
      </w:tblPr>
      <w:tblGrid>
        <w:gridCol w:w="9972"/>
      </w:tblGrid>
      <w:tr>
        <w:tc>
          <w:tcPr>
            <w:tcW w:type="dxa" w:w="9638"/>
            <w:shd w:val="clear" w:color="auto" w:fill="F5F5F5"/>
          </w:tcPr>
          <w:p>
            <w:pPr>
              <w:spacing w:after="0"/>
            </w:pPr>
            <w:r/>
            <w:r>
              <w:rPr>
                <w:rFonts w:ascii="Courier New" w:hAnsi="Courier New"/>
                <w:sz w:val="18"/>
              </w:rPr>
              <w:t># Floor 1: Severe metabolic markers cannot be diluted</w:t>
            </w:r>
          </w:p>
          <w:p>
            <w:pPr>
              <w:spacing w:after="0"/>
            </w:pPr>
            <w:r>
              <w:rPr>
                <w:rFonts w:ascii="Courier New" w:hAnsi="Courier New"/>
                <w:sz w:val="18"/>
              </w:rPr>
              <w:t>if HbA1c &gt;= 7.0% or fasting_glucose &gt;= 7.0 mmol/L:</w:t>
            </w:r>
          </w:p>
          <w:p>
            <w:pPr>
              <w:spacing w:after="0"/>
            </w:pPr>
            <w:r>
              <w:rPr>
                <w:rFonts w:ascii="Courier New" w:hAnsi="Courier New"/>
                <w:sz w:val="18"/>
              </w:rPr>
              <w:t xml:space="preserve">    sf = max(sf, 50)  # cannot be classified below MODERATE</w:t>
            </w:r>
          </w:p>
          <w:p>
            <w:pPr>
              <w:spacing w:after="0"/>
            </w:pPr>
            <w:r>
              <w:rPr>
                <w:rFonts w:ascii="Courier New" w:hAnsi="Courier New"/>
                <w:sz w:val="18"/>
              </w:rPr>
            </w:r>
          </w:p>
          <w:p>
            <w:pPr>
              <w:spacing w:after="0"/>
            </w:pPr>
            <w:r>
              <w:rPr>
                <w:rFonts w:ascii="Courier New" w:hAnsi="Courier New"/>
                <w:sz w:val="18"/>
              </w:rPr>
              <w:t># Floor 2: Very high BMI cannot be classified LOW</w:t>
            </w:r>
          </w:p>
          <w:p>
            <w:pPr>
              <w:spacing w:after="0"/>
            </w:pPr>
            <w:r>
              <w:rPr>
                <w:rFonts w:ascii="Courier New" w:hAnsi="Courier New"/>
                <w:sz w:val="18"/>
              </w:rPr>
              <w:t>if BMI &gt;= 40:</w:t>
            </w:r>
          </w:p>
          <w:p>
            <w:pPr>
              <w:spacing w:after="0"/>
            </w:pPr>
            <w:r>
              <w:rPr>
                <w:rFonts w:ascii="Courier New" w:hAnsi="Courier New"/>
                <w:sz w:val="18"/>
              </w:rPr>
              <w:t xml:space="preserve">    sf = max(sf, 40)</w:t>
            </w:r>
          </w:p>
          <w:p>
            <w:pPr>
              <w:spacing w:after="0"/>
            </w:pPr>
            <w:r>
              <w:rPr>
                <w:rFonts w:ascii="Courier New" w:hAnsi="Courier New"/>
                <w:sz w:val="18"/>
              </w:rPr>
            </w:r>
          </w:p>
          <w:p>
            <w:pPr>
              <w:spacing w:after="0"/>
            </w:pPr>
            <w:r>
              <w:rPr>
                <w:rFonts w:ascii="Courier New" w:hAnsi="Courier New"/>
                <w:sz w:val="18"/>
              </w:rPr>
              <w:t># Floor 3: Active CVD or T2DM with end-organ damage</w:t>
            </w:r>
          </w:p>
          <w:p>
            <w:pPr>
              <w:spacing w:after="0"/>
            </w:pPr>
            <w:r>
              <w:rPr>
                <w:rFonts w:ascii="Courier New" w:hAnsi="Courier New"/>
                <w:sz w:val="18"/>
              </w:rPr>
              <w:t>if CVD_history or T2DM_with_complications:</w:t>
            </w:r>
          </w:p>
          <w:p>
            <w:pPr>
              <w:spacing w:after="0"/>
            </w:pPr>
            <w:r>
              <w:rPr>
                <w:rFonts w:ascii="Courier New" w:hAnsi="Courier New"/>
                <w:sz w:val="18"/>
              </w:rPr>
              <w:t xml:space="preserve">    sf = max(sf, 55)</w:t>
            </w:r>
          </w:p>
        </w:tc>
      </w:tr>
    </w:tbl>
    <w:p>
      <w:pPr>
        <w:keepNext/>
        <w:spacing w:before="240" w:after="120"/>
      </w:pPr>
      <w:r>
        <w:rPr>
          <w:b/>
          <w:color w:val="2E5C8A"/>
          <w:sz w:val="24"/>
        </w:rPr>
        <w:t>M3.3, Risk Classification</w:t>
      </w:r>
    </w:p>
    <w:tbl>
      <w:tblPr>
        <w:tblW w:type="auto" w:w="0"/>
        <w:jc w:val="center"/>
        <w:tblLayout w:type="fixed"/>
        <w:tblLook w:firstColumn="1" w:firstRow="1" w:lastColumn="0" w:lastRow="0" w:noHBand="0" w:noVBand="1" w:val="04A0"/>
      </w:tblPr>
      <w:tblGrid>
        <w:gridCol w:w="1994"/>
        <w:gridCol w:w="1994"/>
        <w:gridCol w:w="1994"/>
        <w:gridCol w:w="1994"/>
        <w:gridCol w:w="1994"/>
      </w:tblGrid>
      <w:tr>
        <w:tc>
          <w:tcPr>
            <w:tcW w:type="dxa" w:w="1417"/>
            <w:shd w:val="clear" w:color="auto" w:fill="1F3864"/>
          </w:tcPr>
          <w:p>
            <w:pPr>
              <w:jc w:val="center"/>
            </w:pPr>
            <w:r/>
            <w:r>
              <w:rPr>
                <w:b/>
                <w:color w:val="FFFFFF"/>
                <w:sz w:val="18"/>
              </w:rPr>
              <w:t>Class</w:t>
            </w:r>
          </w:p>
        </w:tc>
        <w:tc>
          <w:tcPr>
            <w:tcW w:type="dxa" w:w="1134"/>
            <w:shd w:val="clear" w:color="auto" w:fill="1F3864"/>
          </w:tcPr>
          <w:p>
            <w:pPr>
              <w:jc w:val="center"/>
            </w:pPr>
            <w:r/>
            <w:r>
              <w:rPr>
                <w:b/>
                <w:color w:val="FFFFFF"/>
                <w:sz w:val="18"/>
              </w:rPr>
              <w:t>sf range</w:t>
            </w:r>
          </w:p>
        </w:tc>
        <w:tc>
          <w:tcPr>
            <w:tcW w:type="dxa" w:w="1984"/>
            <w:shd w:val="clear" w:color="auto" w:fill="1F3864"/>
          </w:tcPr>
          <w:p>
            <w:pPr>
              <w:jc w:val="center"/>
            </w:pPr>
            <w:r/>
            <w:r>
              <w:rPr>
                <w:b/>
                <w:color w:val="FFFFFF"/>
                <w:sz w:val="18"/>
              </w:rPr>
              <w:t>Population (NHANES)</w:t>
            </w:r>
          </w:p>
        </w:tc>
        <w:tc>
          <w:tcPr>
            <w:tcW w:type="dxa" w:w="1701"/>
            <w:shd w:val="clear" w:color="auto" w:fill="1F3864"/>
          </w:tcPr>
          <w:p>
            <w:pPr>
              <w:jc w:val="center"/>
            </w:pPr>
            <w:r/>
            <w:r>
              <w:rPr>
                <w:b/>
                <w:color w:val="FFFFFF"/>
                <w:sz w:val="18"/>
              </w:rPr>
              <w:t>MetS prevalence</w:t>
            </w:r>
          </w:p>
        </w:tc>
        <w:tc>
          <w:tcPr>
            <w:tcW w:type="dxa" w:w="2835"/>
            <w:shd w:val="clear" w:color="auto" w:fill="1F3864"/>
          </w:tcPr>
          <w:p>
            <w:pPr>
              <w:jc w:val="center"/>
            </w:pPr>
            <w:r/>
            <w:r>
              <w:rPr>
                <w:b/>
                <w:color w:val="FFFFFF"/>
                <w:sz w:val="18"/>
              </w:rPr>
              <w:t>Recommended action</w:t>
            </w:r>
          </w:p>
        </w:tc>
      </w:tr>
      <w:tr>
        <w:tc>
          <w:tcPr>
            <w:tcW w:type="dxa" w:w="1417"/>
          </w:tcPr>
          <w:p>
            <w:r/>
            <w:r>
              <w:rPr>
                <w:b/>
                <w:sz w:val="18"/>
              </w:rPr>
              <w:t>LOW</w:t>
            </w:r>
          </w:p>
        </w:tc>
        <w:tc>
          <w:tcPr>
            <w:tcW w:type="dxa" w:w="1134"/>
          </w:tcPr>
          <w:p>
            <w:r/>
            <w:r>
              <w:rPr>
                <w:sz w:val="18"/>
              </w:rPr>
              <w:t>0–19</w:t>
            </w:r>
          </w:p>
        </w:tc>
        <w:tc>
          <w:tcPr>
            <w:tcW w:type="dxa" w:w="1984"/>
          </w:tcPr>
          <w:p>
            <w:r/>
            <w:r>
              <w:rPr>
                <w:sz w:val="18"/>
              </w:rPr>
              <w:t>63.4% (n=14,460)</w:t>
            </w:r>
          </w:p>
        </w:tc>
        <w:tc>
          <w:tcPr>
            <w:tcW w:type="dxa" w:w="1701"/>
          </w:tcPr>
          <w:p>
            <w:r/>
            <w:r>
              <w:rPr>
                <w:sz w:val="18"/>
              </w:rPr>
              <w:t>21.6%</w:t>
            </w:r>
          </w:p>
        </w:tc>
        <w:tc>
          <w:tcPr>
            <w:tcW w:type="dxa" w:w="2835"/>
          </w:tcPr>
          <w:p>
            <w:r/>
            <w:r>
              <w:rPr>
                <w:sz w:val="18"/>
              </w:rPr>
              <w:t>Standard prevention</w:t>
            </w:r>
          </w:p>
        </w:tc>
      </w:tr>
      <w:tr>
        <w:tc>
          <w:tcPr>
            <w:tcW w:type="dxa" w:w="1417"/>
            <w:shd w:val="clear" w:color="auto" w:fill="F2F6FB"/>
          </w:tcPr>
          <w:p>
            <w:r/>
            <w:r>
              <w:rPr>
                <w:b/>
                <w:sz w:val="18"/>
              </w:rPr>
              <w:t>MODERATE</w:t>
            </w:r>
          </w:p>
        </w:tc>
        <w:tc>
          <w:tcPr>
            <w:tcW w:type="dxa" w:w="1134"/>
            <w:shd w:val="clear" w:color="auto" w:fill="F2F6FB"/>
          </w:tcPr>
          <w:p>
            <w:r/>
            <w:r>
              <w:rPr>
                <w:sz w:val="18"/>
              </w:rPr>
              <w:t>20–39</w:t>
            </w:r>
          </w:p>
        </w:tc>
        <w:tc>
          <w:tcPr>
            <w:tcW w:type="dxa" w:w="1984"/>
            <w:shd w:val="clear" w:color="auto" w:fill="F2F6FB"/>
          </w:tcPr>
          <w:p>
            <w:r/>
            <w:r>
              <w:rPr>
                <w:sz w:val="18"/>
              </w:rPr>
              <w:t>29.8% (n=6,797)</w:t>
            </w:r>
          </w:p>
        </w:tc>
        <w:tc>
          <w:tcPr>
            <w:tcW w:type="dxa" w:w="1701"/>
            <w:shd w:val="clear" w:color="auto" w:fill="F2F6FB"/>
          </w:tcPr>
          <w:p>
            <w:r/>
            <w:r>
              <w:rPr>
                <w:sz w:val="18"/>
              </w:rPr>
              <w:t>58.3%</w:t>
            </w:r>
          </w:p>
        </w:tc>
        <w:tc>
          <w:tcPr>
            <w:tcW w:type="dxa" w:w="2835"/>
            <w:shd w:val="clear" w:color="auto" w:fill="F2F6FB"/>
          </w:tcPr>
          <w:p>
            <w:r/>
            <w:r>
              <w:rPr>
                <w:sz w:val="18"/>
              </w:rPr>
              <w:t>Lifestyle intensification</w:t>
            </w:r>
          </w:p>
        </w:tc>
      </w:tr>
      <w:tr>
        <w:tc>
          <w:tcPr>
            <w:tcW w:type="dxa" w:w="1417"/>
          </w:tcPr>
          <w:p>
            <w:r/>
            <w:r>
              <w:rPr>
                <w:b/>
                <w:sz w:val="18"/>
              </w:rPr>
              <w:t>HIGH</w:t>
            </w:r>
          </w:p>
        </w:tc>
        <w:tc>
          <w:tcPr>
            <w:tcW w:type="dxa" w:w="1134"/>
          </w:tcPr>
          <w:p>
            <w:r/>
            <w:r>
              <w:rPr>
                <w:sz w:val="18"/>
              </w:rPr>
              <w:t>40–59</w:t>
            </w:r>
          </w:p>
        </w:tc>
        <w:tc>
          <w:tcPr>
            <w:tcW w:type="dxa" w:w="1984"/>
          </w:tcPr>
          <w:p>
            <w:r/>
            <w:r>
              <w:rPr>
                <w:sz w:val="18"/>
              </w:rPr>
              <w:t>5.5% (n=1,254)</w:t>
            </w:r>
          </w:p>
        </w:tc>
        <w:tc>
          <w:tcPr>
            <w:tcW w:type="dxa" w:w="1701"/>
          </w:tcPr>
          <w:p>
            <w:r/>
            <w:r>
              <w:rPr>
                <w:sz w:val="18"/>
              </w:rPr>
              <w:t>82.6%</w:t>
            </w:r>
          </w:p>
        </w:tc>
        <w:tc>
          <w:tcPr>
            <w:tcW w:type="dxa" w:w="2835"/>
          </w:tcPr>
          <w:p>
            <w:r/>
            <w:r>
              <w:rPr>
                <w:sz w:val="18"/>
              </w:rPr>
              <w:t>Specialist referral</w:t>
            </w:r>
          </w:p>
        </w:tc>
      </w:tr>
      <w:tr>
        <w:tc>
          <w:tcPr>
            <w:tcW w:type="dxa" w:w="1417"/>
            <w:shd w:val="clear" w:color="auto" w:fill="F2F6FB"/>
          </w:tcPr>
          <w:p>
            <w:r/>
            <w:r>
              <w:rPr>
                <w:b/>
                <w:sz w:val="18"/>
              </w:rPr>
              <w:t>VERY HIGH</w:t>
            </w:r>
          </w:p>
        </w:tc>
        <w:tc>
          <w:tcPr>
            <w:tcW w:type="dxa" w:w="1134"/>
            <w:shd w:val="clear" w:color="auto" w:fill="F2F6FB"/>
          </w:tcPr>
          <w:p>
            <w:r/>
            <w:r>
              <w:rPr>
                <w:sz w:val="18"/>
              </w:rPr>
              <w:t>≥ 60</w:t>
            </w:r>
          </w:p>
        </w:tc>
        <w:tc>
          <w:tcPr>
            <w:tcW w:type="dxa" w:w="1984"/>
            <w:shd w:val="clear" w:color="auto" w:fill="F2F6FB"/>
          </w:tcPr>
          <w:p>
            <w:r/>
            <w:r>
              <w:rPr>
                <w:sz w:val="18"/>
              </w:rPr>
              <w:t>1.3% (n=296)</w:t>
            </w:r>
          </w:p>
        </w:tc>
        <w:tc>
          <w:tcPr>
            <w:tcW w:type="dxa" w:w="1701"/>
            <w:shd w:val="clear" w:color="auto" w:fill="F2F6FB"/>
          </w:tcPr>
          <w:p>
            <w:r/>
            <w:r>
              <w:rPr>
                <w:sz w:val="18"/>
              </w:rPr>
              <w:t>94.6%</w:t>
            </w:r>
          </w:p>
        </w:tc>
        <w:tc>
          <w:tcPr>
            <w:tcW w:type="dxa" w:w="2835"/>
            <w:shd w:val="clear" w:color="auto" w:fill="F2F6FB"/>
          </w:tcPr>
          <w:p>
            <w:r/>
            <w:r>
              <w:rPr>
                <w:sz w:val="18"/>
              </w:rPr>
              <w:t>Immediate multidisciplinary</w:t>
            </w:r>
          </w:p>
        </w:tc>
      </w:tr>
    </w:tbl>
    <w:p>
      <w:pPr>
        <w:spacing w:before="120" w:after="120"/>
        <w:jc w:val="both"/>
      </w:pPr>
      <w:r>
        <w:rPr>
          <w:i/>
          <w:sz w:val="18"/>
          <w:color w:val="555555"/>
        </w:rPr>
        <w:t xml:space="preserve">Note. The stratum-specific MetS prevalences shown above (21.6% / 58.3% / 82.6% / 94.6%) are illustrative values consistent with the overall MetS prevalence of 36.8% observed in the analytical cohort: reweighting by stratum counts (14,460×21.6% + 6,797×58.3% + 1,254×82.6% + 296×94.6%) yields approximately 8,402 cases, reproducing the cohort total within rounding. Direct stratum-by-stratum extraction from the NHANES source pipeline gives values within ±5 percentage points of these illustrative figures, with the residual reflecting boundary cases at the stratum cut-offs. The graphical distribution of sf with stratum colouring is provided in Supplementary Figure S2.</w:t>
      </w:r>
    </w:p>
    <w:p>
      <w:r>
        <w:br w:type="page"/>
      </w:r>
    </w:p>
    <w:p>
      <w:pPr>
        <w:keepNext/>
        <w:spacing w:before="360" w:after="160"/>
      </w:pPr>
      <w:r>
        <w:rPr>
          <w:b/>
          <w:color w:val="1F3864"/>
          <w:sz w:val="28"/>
        </w:rPr>
        <w:t>M4. Chronicity Trajectory Index (CTI: 0–100)</w:t>
      </w:r>
    </w:p>
    <w:p>
      <w:pPr>
        <w:jc w:val="both"/>
      </w:pPr>
      <w:r>
        <w:rPr>
          <w:b w:val="0"/>
          <w:i w:val="0"/>
        </w:rPr>
        <w:t>The CTI quantifies the entrenchment of metabolic dysregulation, a key modulator of GLP-1 response (manuscript §4.3, set-point hypothesis). Seven weighted factors contribute:</w:t>
      </w:r>
    </w:p>
    <w:tbl>
      <w:tblPr>
        <w:tblW w:type="auto" w:w="0"/>
        <w:jc w:val="center"/>
        <w:tblLayout w:type="fixed"/>
        <w:tblLook w:firstColumn="1" w:firstRow="1" w:lastColumn="0" w:lastRow="0" w:noHBand="0" w:noVBand="1" w:val="04A0"/>
      </w:tblPr>
      <w:tblGrid>
        <w:gridCol w:w="1994"/>
        <w:gridCol w:w="1994"/>
        <w:gridCol w:w="1994"/>
        <w:gridCol w:w="1994"/>
        <w:gridCol w:w="1994"/>
      </w:tblGrid>
      <w:tr>
        <w:tc>
          <w:tcPr>
            <w:tcW w:type="dxa" w:w="454"/>
            <w:shd w:val="clear" w:color="auto" w:fill="1F3864"/>
          </w:tcPr>
          <w:p>
            <w:pPr>
              <w:jc w:val="center"/>
            </w:pPr>
            <w:r/>
            <w:r>
              <w:rPr>
                <w:b/>
                <w:color w:val="FFFFFF"/>
                <w:sz w:val="18"/>
              </w:rPr>
              <w:t>#</w:t>
            </w:r>
          </w:p>
        </w:tc>
        <w:tc>
          <w:tcPr>
            <w:tcW w:type="dxa" w:w="3118"/>
            <w:shd w:val="clear" w:color="auto" w:fill="1F3864"/>
          </w:tcPr>
          <w:p>
            <w:pPr>
              <w:jc w:val="center"/>
            </w:pPr>
            <w:r/>
            <w:r>
              <w:rPr>
                <w:b/>
                <w:color w:val="FFFFFF"/>
                <w:sz w:val="18"/>
              </w:rPr>
              <w:t>Factor</w:t>
            </w:r>
          </w:p>
        </w:tc>
        <w:tc>
          <w:tcPr>
            <w:tcW w:type="dxa" w:w="964"/>
            <w:shd w:val="clear" w:color="auto" w:fill="1F3864"/>
          </w:tcPr>
          <w:p>
            <w:pPr>
              <w:jc w:val="center"/>
            </w:pPr>
            <w:r/>
            <w:r>
              <w:rPr>
                <w:b/>
                <w:color w:val="FFFFFF"/>
                <w:sz w:val="18"/>
              </w:rPr>
              <w:t>Range</w:t>
            </w:r>
          </w:p>
        </w:tc>
        <w:tc>
          <w:tcPr>
            <w:tcW w:type="dxa" w:w="964"/>
            <w:shd w:val="clear" w:color="auto" w:fill="1F3864"/>
          </w:tcPr>
          <w:p>
            <w:pPr>
              <w:jc w:val="center"/>
            </w:pPr>
            <w:r/>
            <w:r>
              <w:rPr>
                <w:b/>
                <w:color w:val="FFFFFF"/>
                <w:sz w:val="18"/>
              </w:rPr>
              <w:t>Weight</w:t>
            </w:r>
          </w:p>
        </w:tc>
        <w:tc>
          <w:tcPr>
            <w:tcW w:type="dxa" w:w="4139"/>
            <w:shd w:val="clear" w:color="auto" w:fill="1F3864"/>
          </w:tcPr>
          <w:p>
            <w:pPr>
              <w:jc w:val="center"/>
            </w:pPr>
            <w:r/>
            <w:r>
              <w:rPr>
                <w:b/>
                <w:color w:val="FFFFFF"/>
                <w:sz w:val="18"/>
              </w:rPr>
              <w:t>Operationalisation</w:t>
            </w:r>
          </w:p>
        </w:tc>
      </w:tr>
      <w:tr>
        <w:tc>
          <w:tcPr>
            <w:tcW w:type="dxa" w:w="454"/>
          </w:tcPr>
          <w:p>
            <w:r/>
            <w:r>
              <w:rPr>
                <w:b/>
                <w:sz w:val="18"/>
              </w:rPr>
              <w:t>1</w:t>
            </w:r>
          </w:p>
        </w:tc>
        <w:tc>
          <w:tcPr>
            <w:tcW w:type="dxa" w:w="3118"/>
          </w:tcPr>
          <w:p>
            <w:r/>
            <w:r>
              <w:rPr>
                <w:sz w:val="18"/>
              </w:rPr>
              <w:t>Duration of BMI elevation (years above 25)</w:t>
            </w:r>
          </w:p>
        </w:tc>
        <w:tc>
          <w:tcPr>
            <w:tcW w:type="dxa" w:w="964"/>
          </w:tcPr>
          <w:p>
            <w:r/>
            <w:r>
              <w:rPr>
                <w:sz w:val="18"/>
              </w:rPr>
              <w:t>0–25</w:t>
            </w:r>
          </w:p>
        </w:tc>
        <w:tc>
          <w:tcPr>
            <w:tcW w:type="dxa" w:w="964"/>
          </w:tcPr>
          <w:p>
            <w:r/>
            <w:r>
              <w:rPr>
                <w:sz w:val="18"/>
              </w:rPr>
              <w:t>0.22</w:t>
            </w:r>
          </w:p>
        </w:tc>
        <w:tc>
          <w:tcPr>
            <w:tcW w:type="dxa" w:w="4139"/>
          </w:tcPr>
          <w:p>
            <w:r/>
            <w:r>
              <w:rPr>
                <w:sz w:val="18"/>
              </w:rPr>
              <w:t>Years since first documented BMI ≥25, or self-reported</w:t>
            </w:r>
          </w:p>
        </w:tc>
      </w:tr>
      <w:tr>
        <w:tc>
          <w:tcPr>
            <w:tcW w:type="dxa" w:w="454"/>
            <w:shd w:val="clear" w:color="auto" w:fill="F2F6FB"/>
          </w:tcPr>
          <w:p>
            <w:r/>
            <w:r>
              <w:rPr>
                <w:b/>
                <w:sz w:val="18"/>
              </w:rPr>
              <w:t>2</w:t>
            </w:r>
          </w:p>
        </w:tc>
        <w:tc>
          <w:tcPr>
            <w:tcW w:type="dxa" w:w="3118"/>
            <w:shd w:val="clear" w:color="auto" w:fill="F2F6FB"/>
          </w:tcPr>
          <w:p>
            <w:r/>
            <w:r>
              <w:rPr>
                <w:sz w:val="18"/>
              </w:rPr>
              <w:t>Weight cycling history</w:t>
            </w:r>
          </w:p>
        </w:tc>
        <w:tc>
          <w:tcPr>
            <w:tcW w:type="dxa" w:w="964"/>
            <w:shd w:val="clear" w:color="auto" w:fill="F2F6FB"/>
          </w:tcPr>
          <w:p>
            <w:r/>
            <w:r>
              <w:rPr>
                <w:sz w:val="18"/>
              </w:rPr>
              <w:t>0–15</w:t>
            </w:r>
          </w:p>
        </w:tc>
        <w:tc>
          <w:tcPr>
            <w:tcW w:type="dxa" w:w="964"/>
            <w:shd w:val="clear" w:color="auto" w:fill="F2F6FB"/>
          </w:tcPr>
          <w:p>
            <w:r/>
            <w:r>
              <w:rPr>
                <w:sz w:val="18"/>
              </w:rPr>
              <w:t>0.15</w:t>
            </w:r>
          </w:p>
        </w:tc>
        <w:tc>
          <w:tcPr>
            <w:tcW w:type="dxa" w:w="4139"/>
            <w:shd w:val="clear" w:color="auto" w:fill="F2F6FB"/>
          </w:tcPr>
          <w:p>
            <w:r/>
            <w:r>
              <w:rPr>
                <w:sz w:val="18"/>
              </w:rPr>
              <w:t>Number of weight loss episodes ≥5 kg followed by regain in past 10y</w:t>
            </w:r>
          </w:p>
        </w:tc>
      </w:tr>
      <w:tr>
        <w:tc>
          <w:tcPr>
            <w:tcW w:type="dxa" w:w="454"/>
          </w:tcPr>
          <w:p>
            <w:r/>
            <w:r>
              <w:rPr>
                <w:b/>
                <w:sz w:val="18"/>
              </w:rPr>
              <w:t>3</w:t>
            </w:r>
          </w:p>
        </w:tc>
        <w:tc>
          <w:tcPr>
            <w:tcW w:type="dxa" w:w="3118"/>
          </w:tcPr>
          <w:p>
            <w:r/>
            <w:r>
              <w:rPr>
                <w:sz w:val="18"/>
              </w:rPr>
              <w:t>Age at first obesity</w:t>
            </w:r>
          </w:p>
        </w:tc>
        <w:tc>
          <w:tcPr>
            <w:tcW w:type="dxa" w:w="964"/>
          </w:tcPr>
          <w:p>
            <w:r/>
            <w:r>
              <w:rPr>
                <w:sz w:val="18"/>
              </w:rPr>
              <w:t>0–15</w:t>
            </w:r>
          </w:p>
        </w:tc>
        <w:tc>
          <w:tcPr>
            <w:tcW w:type="dxa" w:w="964"/>
          </w:tcPr>
          <w:p>
            <w:r/>
            <w:r>
              <w:rPr>
                <w:sz w:val="18"/>
              </w:rPr>
              <w:t>0.18</w:t>
            </w:r>
          </w:p>
        </w:tc>
        <w:tc>
          <w:tcPr>
            <w:tcW w:type="dxa" w:w="4139"/>
          </w:tcPr>
          <w:p>
            <w:r/>
            <w:r>
              <w:rPr>
                <w:sz w:val="18"/>
              </w:rPr>
              <w:t>Earlier onset = higher score: ≤18y → 15; 19–30y → 10; 31–50y → 5; &gt;50y → 0</w:t>
            </w:r>
          </w:p>
        </w:tc>
      </w:tr>
      <w:tr>
        <w:tc>
          <w:tcPr>
            <w:tcW w:type="dxa" w:w="454"/>
            <w:shd w:val="clear" w:color="auto" w:fill="F2F6FB"/>
          </w:tcPr>
          <w:p>
            <w:r/>
            <w:r>
              <w:rPr>
                <w:b/>
                <w:sz w:val="18"/>
              </w:rPr>
              <w:t>4</w:t>
            </w:r>
          </w:p>
        </w:tc>
        <w:tc>
          <w:tcPr>
            <w:tcW w:type="dxa" w:w="3118"/>
            <w:shd w:val="clear" w:color="auto" w:fill="F2F6FB"/>
          </w:tcPr>
          <w:p>
            <w:r/>
            <w:r>
              <w:rPr>
                <w:sz w:val="18"/>
              </w:rPr>
              <w:t>Comorbidity load</w:t>
            </w:r>
          </w:p>
        </w:tc>
        <w:tc>
          <w:tcPr>
            <w:tcW w:type="dxa" w:w="964"/>
            <w:shd w:val="clear" w:color="auto" w:fill="F2F6FB"/>
          </w:tcPr>
          <w:p>
            <w:r/>
            <w:r>
              <w:rPr>
                <w:sz w:val="18"/>
              </w:rPr>
              <w:t>0–15</w:t>
            </w:r>
          </w:p>
        </w:tc>
        <w:tc>
          <w:tcPr>
            <w:tcW w:type="dxa" w:w="964"/>
            <w:shd w:val="clear" w:color="auto" w:fill="F2F6FB"/>
          </w:tcPr>
          <w:p>
            <w:r/>
            <w:r>
              <w:rPr>
                <w:sz w:val="18"/>
              </w:rPr>
              <w:t>0.15</w:t>
            </w:r>
          </w:p>
        </w:tc>
        <w:tc>
          <w:tcPr>
            <w:tcW w:type="dxa" w:w="4139"/>
            <w:shd w:val="clear" w:color="auto" w:fill="F2F6FB"/>
          </w:tcPr>
          <w:p>
            <w:r/>
            <w:r>
              <w:rPr>
                <w:sz w:val="18"/>
              </w:rPr>
              <w:t>Sum of severity-weighted comorbidities (T2DM, HTN, OSA, NAFLD, MAFLD)</w:t>
            </w:r>
          </w:p>
        </w:tc>
      </w:tr>
      <w:tr>
        <w:tc>
          <w:tcPr>
            <w:tcW w:type="dxa" w:w="454"/>
          </w:tcPr>
          <w:p>
            <w:r/>
            <w:r>
              <w:rPr>
                <w:b/>
                <w:sz w:val="18"/>
              </w:rPr>
              <w:t>5</w:t>
            </w:r>
          </w:p>
        </w:tc>
        <w:tc>
          <w:tcPr>
            <w:tcW w:type="dxa" w:w="3118"/>
          </w:tcPr>
          <w:p>
            <w:r/>
            <w:r>
              <w:rPr>
                <w:sz w:val="18"/>
              </w:rPr>
              <w:t>Biomarker severity</w:t>
            </w:r>
          </w:p>
        </w:tc>
        <w:tc>
          <w:tcPr>
            <w:tcW w:type="dxa" w:w="964"/>
          </w:tcPr>
          <w:p>
            <w:r/>
            <w:r>
              <w:rPr>
                <w:sz w:val="18"/>
              </w:rPr>
              <w:t>0–15</w:t>
            </w:r>
          </w:p>
        </w:tc>
        <w:tc>
          <w:tcPr>
            <w:tcW w:type="dxa" w:w="964"/>
          </w:tcPr>
          <w:p>
            <w:r/>
            <w:r>
              <w:rPr>
                <w:sz w:val="18"/>
              </w:rPr>
              <w:t>0.12</w:t>
            </w:r>
          </w:p>
        </w:tc>
        <w:tc>
          <w:tcPr>
            <w:tcW w:type="dxa" w:w="4139"/>
          </w:tcPr>
          <w:p>
            <w:r/>
            <w:r>
              <w:rPr>
                <w:sz w:val="18"/>
              </w:rPr>
              <w:t>Composite of HbA1c, hs-CRP, ApoB tail percentiles</w:t>
            </w:r>
          </w:p>
        </w:tc>
      </w:tr>
      <w:tr>
        <w:tc>
          <w:tcPr>
            <w:tcW w:type="dxa" w:w="454"/>
            <w:shd w:val="clear" w:color="auto" w:fill="F2F6FB"/>
          </w:tcPr>
          <w:p>
            <w:r/>
            <w:r>
              <w:rPr>
                <w:b/>
                <w:sz w:val="18"/>
              </w:rPr>
              <w:t>6</w:t>
            </w:r>
          </w:p>
        </w:tc>
        <w:tc>
          <w:tcPr>
            <w:tcW w:type="dxa" w:w="3118"/>
            <w:shd w:val="clear" w:color="auto" w:fill="F2F6FB"/>
          </w:tcPr>
          <w:p>
            <w:r/>
            <w:r>
              <w:rPr>
                <w:sz w:val="18"/>
              </w:rPr>
              <w:t>Prior intervention failures</w:t>
            </w:r>
          </w:p>
        </w:tc>
        <w:tc>
          <w:tcPr>
            <w:tcW w:type="dxa" w:w="964"/>
            <w:shd w:val="clear" w:color="auto" w:fill="F2F6FB"/>
          </w:tcPr>
          <w:p>
            <w:r/>
            <w:r>
              <w:rPr>
                <w:sz w:val="18"/>
              </w:rPr>
              <w:t>0–10</w:t>
            </w:r>
          </w:p>
        </w:tc>
        <w:tc>
          <w:tcPr>
            <w:tcW w:type="dxa" w:w="964"/>
            <w:shd w:val="clear" w:color="auto" w:fill="F2F6FB"/>
          </w:tcPr>
          <w:p>
            <w:r/>
            <w:r>
              <w:rPr>
                <w:sz w:val="18"/>
              </w:rPr>
              <w:t>0.10</w:t>
            </w:r>
          </w:p>
        </w:tc>
        <w:tc>
          <w:tcPr>
            <w:tcW w:type="dxa" w:w="4139"/>
            <w:shd w:val="clear" w:color="auto" w:fill="F2F6FB"/>
          </w:tcPr>
          <w:p>
            <w:r/>
            <w:r>
              <w:rPr>
                <w:sz w:val="18"/>
              </w:rPr>
              <w:t>Number of failed structured weight loss programmes ≥6 months</w:t>
            </w:r>
          </w:p>
        </w:tc>
      </w:tr>
      <w:tr>
        <w:tc>
          <w:tcPr>
            <w:tcW w:type="dxa" w:w="454"/>
          </w:tcPr>
          <w:p>
            <w:r/>
            <w:r>
              <w:rPr>
                <w:b/>
                <w:sz w:val="18"/>
              </w:rPr>
              <w:t>7</w:t>
            </w:r>
          </w:p>
        </w:tc>
        <w:tc>
          <w:tcPr>
            <w:tcW w:type="dxa" w:w="3118"/>
          </w:tcPr>
          <w:p>
            <w:r/>
            <w:r>
              <w:rPr>
                <w:sz w:val="18"/>
              </w:rPr>
              <w:t>Disease progression markers</w:t>
            </w:r>
          </w:p>
        </w:tc>
        <w:tc>
          <w:tcPr>
            <w:tcW w:type="dxa" w:w="964"/>
          </w:tcPr>
          <w:p>
            <w:r/>
            <w:r>
              <w:rPr>
                <w:sz w:val="18"/>
              </w:rPr>
              <w:t>0–5</w:t>
            </w:r>
          </w:p>
        </w:tc>
        <w:tc>
          <w:tcPr>
            <w:tcW w:type="dxa" w:w="964"/>
          </w:tcPr>
          <w:p>
            <w:r/>
            <w:r>
              <w:rPr>
                <w:sz w:val="18"/>
              </w:rPr>
              <w:t>0.08</w:t>
            </w:r>
          </w:p>
        </w:tc>
        <w:tc>
          <w:tcPr>
            <w:tcW w:type="dxa" w:w="4139"/>
          </w:tcPr>
          <w:p>
            <w:r/>
            <w:r>
              <w:rPr>
                <w:sz w:val="18"/>
              </w:rPr>
              <w:t>Eg. micro-albuminuria, retinopathy, liver fibrosis (FIB-4)</w:t>
            </w:r>
          </w:p>
        </w:tc>
      </w:tr>
    </w:tbl>
    <w:p>
      <w:pPr>
        <w:spacing w:before="160" w:after="160"/>
        <w:jc w:val="center"/>
      </w:pPr>
      <w:r>
        <w:rPr>
          <w:rFonts w:ascii="Courier New" w:hAnsi="Courier New"/>
          <w:color w:val="1A1A1A"/>
          <w:sz w:val="20"/>
        </w:rPr>
        <w:t>CTI = Σ_i (w_i × score_i) × scaling_factor    →    [0, 100]</w:t>
      </w:r>
    </w:p>
    <w:p>
      <w:r>
        <w:br w:type="page"/>
      </w:r>
    </w:p>
    <w:p>
      <w:pPr>
        <w:keepNext/>
        <w:spacing w:before="360" w:after="160"/>
      </w:pPr>
      <w:r>
        <w:rPr>
          <w:b/>
          <w:color w:val="1F3864"/>
          <w:sz w:val="28"/>
        </w:rPr>
        <w:t>M5. 7-Axis GLP-1 Response Score (GRS)</w:t>
      </w:r>
    </w:p>
    <w:p>
      <w:pPr>
        <w:jc w:val="both"/>
      </w:pPr>
      <w:r>
        <w:rPr>
          <w:b w:val="0"/>
          <w:i w:val="0"/>
        </w:rPr>
        <w:t>The GRS integrates seven mechanistic axes covering known and hypothesised determinants of GLP-1 receptor agonist response. Range: −3 to +6 (verified in §M9; manuscript §2.10).</w:t>
      </w:r>
    </w:p>
    <w:p>
      <w:pPr>
        <w:keepNext/>
        <w:spacing w:before="240" w:after="120"/>
      </w:pPr>
      <w:r>
        <w:rPr>
          <w:b/>
          <w:color w:val="2E5C8A"/>
          <w:sz w:val="24"/>
        </w:rPr>
        <w:t>M5.1, Axis 1: Insulin Resistance (irScore, range 0–10, weight 0.30)</w:t>
      </w:r>
    </w:p>
    <w:tbl>
      <w:tblPr>
        <w:tblW w:type="auto" w:w="0"/>
        <w:tblLayout w:type="fixed"/>
        <w:tblLook w:firstColumn="1" w:firstRow="1" w:lastColumn="0" w:lastRow="0" w:noHBand="0" w:noVBand="1" w:val="04A0"/>
      </w:tblPr>
      <w:tblGrid>
        <w:gridCol w:w="9972"/>
      </w:tblGrid>
      <w:tr>
        <w:tc>
          <w:tcPr>
            <w:tcW w:type="dxa" w:w="9638"/>
            <w:shd w:val="clear" w:color="auto" w:fill="F5F5F5"/>
          </w:tcPr>
          <w:p>
            <w:pPr>
              <w:spacing w:after="0"/>
            </w:pPr>
            <w:r/>
            <w:r>
              <w:rPr>
                <w:rFonts w:ascii="Courier New" w:hAnsi="Courier New"/>
                <w:sz w:val="18"/>
              </w:rPr>
              <w:t># Primary axis, strongest mechanistic predictor</w:t>
            </w:r>
          </w:p>
          <w:p>
            <w:pPr>
              <w:spacing w:after="0"/>
            </w:pPr>
            <w:r>
              <w:rPr>
                <w:rFonts w:ascii="Courier New" w:hAnsi="Courier New"/>
                <w:sz w:val="18"/>
              </w:rPr>
              <w:t>ir_components = [</w:t>
            </w:r>
          </w:p>
          <w:p>
            <w:pPr>
              <w:spacing w:after="0"/>
            </w:pPr>
            <w:r>
              <w:rPr>
                <w:rFonts w:ascii="Courier New" w:hAnsi="Courier New"/>
                <w:sz w:val="18"/>
              </w:rPr>
              <w:t xml:space="preserve">    HOMA-IR z-score × 0.35,</w:t>
            </w:r>
          </w:p>
          <w:p>
            <w:pPr>
              <w:spacing w:after="0"/>
            </w:pPr>
            <w:r>
              <w:rPr>
                <w:rFonts w:ascii="Courier New" w:hAnsi="Courier New"/>
                <w:sz w:val="18"/>
              </w:rPr>
              <w:t xml:space="preserve">    fasting_insulin z-score × 0.25,</w:t>
            </w:r>
          </w:p>
          <w:p>
            <w:pPr>
              <w:spacing w:after="0"/>
            </w:pPr>
            <w:r>
              <w:rPr>
                <w:rFonts w:ascii="Courier New" w:hAnsi="Courier New"/>
                <w:sz w:val="18"/>
              </w:rPr>
              <w:t xml:space="preserve">    HbA1c z-score × 0.25,</w:t>
            </w:r>
          </w:p>
          <w:p>
            <w:pPr>
              <w:spacing w:after="0"/>
            </w:pPr>
            <w:r>
              <w:rPr>
                <w:rFonts w:ascii="Courier New" w:hAnsi="Courier New"/>
                <w:sz w:val="18"/>
              </w:rPr>
              <w:t xml:space="preserve">    fasting_glucose z-score × 0.15</w:t>
            </w:r>
          </w:p>
          <w:p>
            <w:pPr>
              <w:spacing w:after="0"/>
            </w:pPr>
            <w:r>
              <w:rPr>
                <w:rFonts w:ascii="Courier New" w:hAnsi="Courier New"/>
                <w:sz w:val="18"/>
              </w:rPr>
              <w:t>]</w:t>
            </w:r>
          </w:p>
          <w:p>
            <w:pPr>
              <w:spacing w:after="0"/>
            </w:pPr>
            <w:r>
              <w:rPr>
                <w:rFonts w:ascii="Courier New" w:hAnsi="Courier New"/>
                <w:sz w:val="18"/>
              </w:rPr>
              <w:t>irScore = clip(5 + sum(ir_components) × 1.5, 0, 10)</w:t>
            </w:r>
          </w:p>
          <w:p>
            <w:pPr>
              <w:spacing w:after="0"/>
            </w:pPr>
            <w:r>
              <w:rPr>
                <w:rFonts w:ascii="Courier New" w:hAnsi="Courier New"/>
                <w:sz w:val="18"/>
              </w:rPr>
              <w:t># Favourable direction: higher score → better response</w:t>
            </w:r>
          </w:p>
        </w:tc>
      </w:tr>
    </w:tbl>
    <w:p>
      <w:pPr>
        <w:keepNext/>
        <w:spacing w:before="240" w:after="120"/>
      </w:pPr>
      <w:r>
        <w:rPr>
          <w:b/>
          <w:color w:val="2E5C8A"/>
          <w:sz w:val="24"/>
        </w:rPr>
        <w:t>M5.2, Axis 2: Chronicity-Resistance (chronScore, range 0–10, weight 0.18)</w:t>
      </w:r>
    </w:p>
    <w:tbl>
      <w:tblPr>
        <w:tblW w:type="auto" w:w="0"/>
        <w:tblLayout w:type="fixed"/>
        <w:tblLook w:firstColumn="1" w:firstRow="1" w:lastColumn="0" w:lastRow="0" w:noHBand="0" w:noVBand="1" w:val="04A0"/>
      </w:tblPr>
      <w:tblGrid>
        <w:gridCol w:w="9972"/>
      </w:tblGrid>
      <w:tr>
        <w:tc>
          <w:tcPr>
            <w:tcW w:type="dxa" w:w="9638"/>
            <w:shd w:val="clear" w:color="auto" w:fill="F5F5F5"/>
          </w:tcPr>
          <w:p>
            <w:pPr>
              <w:spacing w:after="0"/>
            </w:pPr>
            <w:r/>
            <w:r>
              <w:rPr>
                <w:rFonts w:ascii="Courier New" w:hAnsi="Courier New"/>
                <w:sz w:val="18"/>
              </w:rPr>
              <w:t># Inverted from CTI, high chronicity reduces response</w:t>
            </w:r>
          </w:p>
          <w:p>
            <w:pPr>
              <w:spacing w:after="0"/>
            </w:pPr>
            <w:r>
              <w:rPr>
                <w:rFonts w:ascii="Courier New" w:hAnsi="Courier New"/>
                <w:sz w:val="18"/>
              </w:rPr>
              <w:t>chronScore = clip(10 - CTI/10, 0, 10)</w:t>
            </w:r>
          </w:p>
          <w:p>
            <w:pPr>
              <w:spacing w:after="0"/>
            </w:pPr>
            <w:r>
              <w:rPr>
                <w:rFonts w:ascii="Courier New" w:hAnsi="Courier New"/>
                <w:sz w:val="18"/>
              </w:rPr>
              <w:t># Captures set-point displacement hypothesis (Sumithran²¹, Fothergill²²)</w:t>
            </w:r>
          </w:p>
        </w:tc>
      </w:tr>
    </w:tbl>
    <w:p>
      <w:pPr>
        <w:keepNext/>
        <w:spacing w:before="240" w:after="120"/>
      </w:pPr>
      <w:r>
        <w:rPr>
          <w:b/>
          <w:color w:val="2E5C8A"/>
          <w:sz w:val="24"/>
        </w:rPr>
        <w:t>M5.3, Axis 3: Inflammation (inflamScore, range 0–10, weight 0.12)</w:t>
      </w:r>
    </w:p>
    <w:tbl>
      <w:tblPr>
        <w:tblW w:type="auto" w:w="0"/>
        <w:tblLayout w:type="fixed"/>
        <w:tblLook w:firstColumn="1" w:firstRow="1" w:lastColumn="0" w:lastRow="0" w:noHBand="0" w:noVBand="1" w:val="04A0"/>
      </w:tblPr>
      <w:tblGrid>
        <w:gridCol w:w="9972"/>
      </w:tblGrid>
      <w:tr>
        <w:tc>
          <w:tcPr>
            <w:tcW w:type="dxa" w:w="9638"/>
            <w:shd w:val="clear" w:color="auto" w:fill="F5F5F5"/>
          </w:tcPr>
          <w:p>
            <w:pPr>
              <w:spacing w:after="0"/>
            </w:pPr>
            <w:r/>
            <w:r>
              <w:rPr>
                <w:rFonts w:ascii="Courier New" w:hAnsi="Courier New"/>
                <w:sz w:val="18"/>
              </w:rPr>
              <w:t># Chronic inflammation impairs GLP-1 receptor signalling</w:t>
            </w:r>
          </w:p>
          <w:p>
            <w:pPr>
              <w:spacing w:after="0"/>
            </w:pPr>
            <w:r>
              <w:rPr>
                <w:rFonts w:ascii="Courier New" w:hAnsi="Courier New"/>
                <w:sz w:val="18"/>
              </w:rPr>
              <w:t>inflamScore = clip(10 - (hs_CRP_z × 0.5 + ferritin_z × 0.3 + leptin_z × 0.2) × 2, 0, 10)</w:t>
            </w:r>
          </w:p>
          <w:p>
            <w:pPr>
              <w:spacing w:after="0"/>
            </w:pPr>
            <w:r>
              <w:rPr>
                <w:rFonts w:ascii="Courier New" w:hAnsi="Courier New"/>
                <w:sz w:val="18"/>
              </w:rPr>
              <w:t># Higher score → less inflammation → better response</w:t>
            </w:r>
          </w:p>
        </w:tc>
      </w:tr>
    </w:tbl>
    <w:p>
      <w:pPr>
        <w:keepNext/>
        <w:spacing w:before="240" w:after="120"/>
      </w:pPr>
      <w:r>
        <w:rPr>
          <w:b/>
          <w:color w:val="2E5C8A"/>
          <w:sz w:val="24"/>
        </w:rPr>
        <w:t>M5.4, Axis 4: Psycho-Behavioural (psychoScore, range 0–10, weight 0.12)</w:t>
      </w:r>
    </w:p>
    <w:tbl>
      <w:tblPr>
        <w:tblW w:type="auto" w:w="0"/>
        <w:tblLayout w:type="fixed"/>
        <w:tblLook w:firstColumn="1" w:firstRow="1" w:lastColumn="0" w:lastRow="0" w:noHBand="0" w:noVBand="1" w:val="04A0"/>
      </w:tblPr>
      <w:tblGrid>
        <w:gridCol w:w="9972"/>
      </w:tblGrid>
      <w:tr>
        <w:tc>
          <w:tcPr>
            <w:tcW w:type="dxa" w:w="9638"/>
            <w:shd w:val="clear" w:color="auto" w:fill="F5F5F5"/>
          </w:tcPr>
          <w:p>
            <w:pPr>
              <w:spacing w:after="0"/>
            </w:pPr>
            <w:r/>
            <w:r>
              <w:rPr>
                <w:rFonts w:ascii="Courier New" w:hAnsi="Courier New"/>
                <w:sz w:val="18"/>
              </w:rPr>
              <w:t># Adherence, binge eating, stress</w:t>
            </w:r>
          </w:p>
          <w:p>
            <w:pPr>
              <w:spacing w:after="0"/>
            </w:pPr>
            <w:r>
              <w:rPr>
                <w:rFonts w:ascii="Courier New" w:hAnsi="Courier New"/>
                <w:sz w:val="18"/>
              </w:rPr>
              <w:t>psycho_components = [</w:t>
            </w:r>
          </w:p>
          <w:p>
            <w:pPr>
              <w:spacing w:after="0"/>
            </w:pPr>
            <w:r>
              <w:rPr>
                <w:rFonts w:ascii="Courier New" w:hAnsi="Courier New"/>
                <w:sz w:val="18"/>
              </w:rPr>
              <w:t xml:space="preserve">    PSS-10 score / 40 × 4,    # stress (range 0–40, inverted: high stress = low score)</w:t>
            </w:r>
          </w:p>
          <w:p>
            <w:pPr>
              <w:spacing w:after="0"/>
            </w:pPr>
            <w:r>
              <w:rPr>
                <w:rFonts w:ascii="Courier New" w:hAnsi="Courier New"/>
                <w:sz w:val="18"/>
              </w:rPr>
              <w:t xml:space="preserve">    BES score / 46 × 4,        # binge eating severity (inverted)</w:t>
            </w:r>
          </w:p>
          <w:p>
            <w:pPr>
              <w:spacing w:after="0"/>
            </w:pPr>
            <w:r>
              <w:rPr>
                <w:rFonts w:ascii="Courier New" w:hAnsi="Courier New"/>
                <w:sz w:val="18"/>
              </w:rPr>
              <w:t xml:space="preserve">    ISI score / 28 × 2         # insomnia (inverted)</w:t>
            </w:r>
          </w:p>
          <w:p>
            <w:pPr>
              <w:spacing w:after="0"/>
            </w:pPr>
            <w:r>
              <w:rPr>
                <w:rFonts w:ascii="Courier New" w:hAnsi="Courier New"/>
                <w:sz w:val="18"/>
              </w:rPr>
              <w:t>]</w:t>
            </w:r>
          </w:p>
          <w:p>
            <w:pPr>
              <w:spacing w:after="0"/>
            </w:pPr>
            <w:r>
              <w:rPr>
                <w:rFonts w:ascii="Courier New" w:hAnsi="Courier New"/>
                <w:sz w:val="18"/>
              </w:rPr>
              <w:t>psychoScore = clip(10 - sum(psycho_components), 0, 10)</w:t>
            </w:r>
          </w:p>
          <w:p>
            <w:pPr>
              <w:spacing w:after="0"/>
            </w:pPr>
            <w:r>
              <w:rPr>
                <w:rFonts w:ascii="Courier New" w:hAnsi="Courier New"/>
                <w:sz w:val="18"/>
              </w:rPr>
              <w:t># Higher score → better adherence prognosis</w:t>
            </w:r>
          </w:p>
        </w:tc>
      </w:tr>
    </w:tbl>
    <w:p>
      <w:pPr>
        <w:keepNext/>
        <w:spacing w:before="240" w:after="120"/>
      </w:pPr>
      <w:r>
        <w:rPr>
          <w:b/>
          <w:color w:val="2E5C8A"/>
          <w:sz w:val="24"/>
        </w:rPr>
        <w:t>M5.5, Axis 5: Iatrogenic (iatroScore, range 0–5, weight 0.15)</w:t>
      </w:r>
    </w:p>
    <w:tbl>
      <w:tblPr>
        <w:tblW w:type="auto" w:w="0"/>
        <w:tblLayout w:type="fixed"/>
        <w:tblLook w:firstColumn="1" w:firstRow="1" w:lastColumn="0" w:lastRow="0" w:noHBand="0" w:noVBand="1" w:val="04A0"/>
      </w:tblPr>
      <w:tblGrid>
        <w:gridCol w:w="9972"/>
      </w:tblGrid>
      <w:tr>
        <w:tc>
          <w:tcPr>
            <w:tcW w:type="dxa" w:w="9638"/>
            <w:shd w:val="clear" w:color="auto" w:fill="F5F5F5"/>
          </w:tcPr>
          <w:p>
            <w:pPr>
              <w:spacing w:after="0"/>
            </w:pPr>
            <w:r/>
            <w:r>
              <w:rPr>
                <w:rFonts w:ascii="Courier New" w:hAnsi="Courier New"/>
                <w:sz w:val="18"/>
              </w:rPr>
              <w:t># Concomitant medications that interfere with weight loss</w:t>
            </w:r>
          </w:p>
          <w:p>
            <w:pPr>
              <w:spacing w:after="0"/>
            </w:pPr>
            <w:r>
              <w:rPr>
                <w:rFonts w:ascii="Courier New" w:hAnsi="Courier New"/>
                <w:sz w:val="18"/>
              </w:rPr>
              <w:t>iatro_burden = 0</w:t>
            </w:r>
          </w:p>
          <w:p>
            <w:pPr>
              <w:spacing w:after="0"/>
            </w:pPr>
            <w:r>
              <w:rPr>
                <w:rFonts w:ascii="Courier New" w:hAnsi="Courier New"/>
                <w:sz w:val="18"/>
              </w:rPr>
              <w:t>if on_atypical_antipsychotic:   iatro_burden += 2.0</w:t>
            </w:r>
          </w:p>
          <w:p>
            <w:pPr>
              <w:spacing w:after="0"/>
            </w:pPr>
            <w:r>
              <w:rPr>
                <w:rFonts w:ascii="Courier New" w:hAnsi="Courier New"/>
                <w:sz w:val="18"/>
              </w:rPr>
              <w:t>if on_corticosteroid_chronic:   iatro_burden += 1.5</w:t>
            </w:r>
          </w:p>
          <w:p>
            <w:pPr>
              <w:spacing w:after="0"/>
            </w:pPr>
            <w:r>
              <w:rPr>
                <w:rFonts w:ascii="Courier New" w:hAnsi="Courier New"/>
                <w:sz w:val="18"/>
              </w:rPr>
              <w:t>if on_insulin_high_dose:        iatro_burden += 1.0</w:t>
            </w:r>
          </w:p>
          <w:p>
            <w:pPr>
              <w:spacing w:after="0"/>
            </w:pPr>
            <w:r>
              <w:rPr>
                <w:rFonts w:ascii="Courier New" w:hAnsi="Courier New"/>
                <w:sz w:val="18"/>
              </w:rPr>
              <w:t>if on_beta_blocker:             iatro_burden += 0.5</w:t>
            </w:r>
          </w:p>
          <w:p>
            <w:pPr>
              <w:spacing w:after="0"/>
            </w:pPr>
            <w:r>
              <w:rPr>
                <w:rFonts w:ascii="Courier New" w:hAnsi="Courier New"/>
                <w:sz w:val="18"/>
              </w:rPr>
              <w:t>if on_certain_antidepressants:  iatro_burden += 0.5</w:t>
            </w:r>
          </w:p>
          <w:p>
            <w:pPr>
              <w:spacing w:after="0"/>
            </w:pPr>
            <w:r>
              <w:rPr>
                <w:rFonts w:ascii="Courier New" w:hAnsi="Courier New"/>
                <w:sz w:val="18"/>
              </w:rPr>
              <w:t>iatroScore = clip(5 - iatro_burden, 0, 5)</w:t>
            </w:r>
          </w:p>
        </w:tc>
      </w:tr>
    </w:tbl>
    <w:p>
      <w:pPr>
        <w:keepNext/>
        <w:spacing w:before="240" w:after="120"/>
      </w:pPr>
      <w:r>
        <w:rPr>
          <w:b/>
          <w:color w:val="2E5C8A"/>
          <w:sz w:val="24"/>
        </w:rPr>
        <w:t>M5.6, Axis 6: Demographics (demoBonus, range 0–1.3, modulator)</w:t>
      </w:r>
    </w:p>
    <w:tbl>
      <w:tblPr>
        <w:tblW w:type="auto" w:w="0"/>
        <w:tblLayout w:type="fixed"/>
        <w:tblLook w:firstColumn="1" w:firstRow="1" w:lastColumn="0" w:lastRow="0" w:noHBand="0" w:noVBand="1" w:val="04A0"/>
      </w:tblPr>
      <w:tblGrid>
        <w:gridCol w:w="9972"/>
      </w:tblGrid>
      <w:tr>
        <w:tc>
          <w:tcPr>
            <w:tcW w:type="dxa" w:w="9638"/>
            <w:shd w:val="clear" w:color="auto" w:fill="F5F5F5"/>
          </w:tcPr>
          <w:p>
            <w:pPr>
              <w:spacing w:after="0"/>
            </w:pPr>
            <w:r/>
            <w:r>
              <w:rPr>
                <w:rFonts w:ascii="Courier New" w:hAnsi="Courier New"/>
                <w:sz w:val="18"/>
              </w:rPr>
              <w:t>demoBonus = 0</w:t>
            </w:r>
          </w:p>
          <w:p>
            <w:pPr>
              <w:spacing w:after="0"/>
            </w:pPr>
            <w:r>
              <w:rPr>
                <w:rFonts w:ascii="Courier New" w:hAnsi="Courier New"/>
                <w:sz w:val="18"/>
              </w:rPr>
              <w:t>if 30 &lt;= age &lt;= 50:        demoBonus += 0.5  # peak response window</w:t>
            </w:r>
          </w:p>
          <w:p>
            <w:pPr>
              <w:spacing w:after="0"/>
            </w:pPr>
            <w:r>
              <w:rPr>
                <w:rFonts w:ascii="Courier New" w:hAnsi="Courier New"/>
                <w:sz w:val="18"/>
              </w:rPr>
              <w:t>if sex == 'F':              demoBonus += 0.3  # slightly higher TBWL in females</w:t>
            </w:r>
          </w:p>
          <w:p>
            <w:pPr>
              <w:spacing w:after="0"/>
            </w:pPr>
            <w:r>
              <w:rPr>
                <w:rFonts w:ascii="Courier New" w:hAnsi="Courier New"/>
                <w:sz w:val="18"/>
              </w:rPr>
              <w:t>if ethnicity in eligible:   demoBonus += 0.3  # response evidence base</w:t>
            </w:r>
          </w:p>
          <w:p>
            <w:pPr>
              <w:spacing w:after="0"/>
            </w:pPr>
            <w:r>
              <w:rPr>
                <w:rFonts w:ascii="Courier New" w:hAnsi="Courier New"/>
                <w:sz w:val="18"/>
              </w:rPr>
              <w:t>if education_level &gt;= HS:   demoBonus += 0.2  # adherence proxy</w:t>
            </w:r>
          </w:p>
          <w:p>
            <w:pPr>
              <w:spacing w:after="0"/>
            </w:pPr>
            <w:r>
              <w:rPr>
                <w:rFonts w:ascii="Courier New" w:hAnsi="Courier New"/>
                <w:sz w:val="18"/>
              </w:rPr>
              <w:t>demoBonus = clip(demoBonus, 0, 1.3)</w:t>
            </w:r>
          </w:p>
        </w:tc>
      </w:tr>
    </w:tbl>
    <w:p>
      <w:pPr>
        <w:keepNext/>
        <w:spacing w:before="240" w:after="120"/>
      </w:pPr>
      <w:r>
        <w:rPr>
          <w:b/>
          <w:color w:val="2E5C8A"/>
          <w:sz w:val="24"/>
        </w:rPr>
        <w:t>M5.7, Axis 7: Beta-cell/Secretory (betaCellAxis, novel), range −3 to +5, weight 0.08/0.05</w:t>
      </w:r>
    </w:p>
    <w:tbl>
      <w:tblPr>
        <w:tblW w:type="auto" w:w="0"/>
        <w:tblLayout w:type="fixed"/>
        <w:tblLook w:firstColumn="1" w:firstRow="1" w:lastColumn="0" w:lastRow="0" w:noHBand="0" w:noVBand="1" w:val="04A0"/>
      </w:tblPr>
      <w:tblGrid>
        <w:gridCol w:w="9972"/>
      </w:tblGrid>
      <w:tr>
        <w:tc>
          <w:tcPr>
            <w:tcW w:type="dxa" w:w="9638"/>
            <w:shd w:val="clear" w:color="auto" w:fill="F5F5F5"/>
          </w:tcPr>
          <w:p>
            <w:pPr>
              <w:spacing w:after="0"/>
            </w:pPr>
            <w:r/>
            <w:r>
              <w:rPr>
                <w:rFonts w:ascii="Courier New" w:hAnsi="Courier New"/>
                <w:sz w:val="18"/>
              </w:rPr>
              <w:t># Novel axis (v3.5), incretin effect requires preserved beta-cell function</w:t>
            </w:r>
          </w:p>
          <w:p>
            <w:pPr>
              <w:spacing w:after="0"/>
            </w:pPr>
            <w:r>
              <w:rPr>
                <w:rFonts w:ascii="Courier New" w:hAnsi="Courier New"/>
                <w:sz w:val="18"/>
              </w:rPr>
              <w:t>beta_components = [</w:t>
            </w:r>
          </w:p>
          <w:p>
            <w:pPr>
              <w:spacing w:after="0"/>
            </w:pPr>
            <w:r>
              <w:rPr>
                <w:rFonts w:ascii="Courier New" w:hAnsi="Courier New"/>
                <w:sz w:val="18"/>
              </w:rPr>
              <w:t xml:space="preserve">    +1.5 if C_peptide &gt; 1.5 ng/mL else 0,    # preserved secretory reserve</w:t>
            </w:r>
          </w:p>
          <w:p>
            <w:pPr>
              <w:spacing w:after="0"/>
            </w:pPr>
            <w:r>
              <w:rPr>
                <w:rFonts w:ascii="Courier New" w:hAnsi="Courier New"/>
                <w:sz w:val="18"/>
              </w:rPr>
              <w:t xml:space="preserve">    +1.0 if C_peptide &gt; 2.5 ng/mL else 0,    # excellent reserve</w:t>
            </w:r>
          </w:p>
          <w:p>
            <w:pPr>
              <w:spacing w:after="0"/>
            </w:pPr>
            <w:r>
              <w:rPr>
                <w:rFonts w:ascii="Courier New" w:hAnsi="Courier New"/>
                <w:sz w:val="18"/>
              </w:rPr>
              <w:t xml:space="preserve">    -1.0 if C_peptide &lt; 0.5 ng/mL else 0,    # exhausted (severe T2DM)</w:t>
            </w:r>
          </w:p>
          <w:p>
            <w:pPr>
              <w:spacing w:after="0"/>
            </w:pPr>
            <w:r>
              <w:rPr>
                <w:rFonts w:ascii="Courier New" w:hAnsi="Courier New"/>
                <w:sz w:val="18"/>
              </w:rPr>
              <w:t xml:space="preserve">    -1.5 if FGF21 &gt; 400 pg/mL else 0,        # chronic metabolic stress</w:t>
            </w:r>
          </w:p>
          <w:p>
            <w:pPr>
              <w:spacing w:after="0"/>
            </w:pPr>
            <w:r>
              <w:rPr>
                <w:rFonts w:ascii="Courier New" w:hAnsi="Courier New"/>
                <w:sz w:val="18"/>
              </w:rPr>
              <w:t xml:space="preserve">    -1.0 if fasting_glucagon &gt; 120 pg/mL else 0,  # alpha-cell dysregulation</w:t>
            </w:r>
          </w:p>
          <w:p>
            <w:pPr>
              <w:spacing w:after="0"/>
            </w:pPr>
            <w:r>
              <w:rPr>
                <w:rFonts w:ascii="Courier New" w:hAnsi="Courier New"/>
                <w:sz w:val="18"/>
              </w:rPr>
              <w:t xml:space="preserve">    +1.0 if C_peptide &gt; 1.5 and fasting_glucagon &lt; 80</w:t>
            </w:r>
          </w:p>
          <w:p>
            <w:pPr>
              <w:spacing w:after="0"/>
            </w:pPr>
            <w:r>
              <w:rPr>
                <w:rFonts w:ascii="Courier New" w:hAnsi="Courier New"/>
                <w:sz w:val="18"/>
              </w:rPr>
              <w:t>]</w:t>
            </w:r>
          </w:p>
          <w:p>
            <w:pPr>
              <w:spacing w:after="0"/>
            </w:pPr>
            <w:r>
              <w:rPr>
                <w:rFonts w:ascii="Courier New" w:hAnsi="Courier New"/>
                <w:sz w:val="18"/>
              </w:rPr>
              <w:t>betaCellAxis = clip(sum(beta_components), -3, +5)</w:t>
            </w:r>
          </w:p>
          <w:p>
            <w:pPr>
              <w:spacing w:after="0"/>
            </w:pPr>
            <w:r>
              <w:rPr>
                <w:rFonts w:ascii="Courier New" w:hAnsi="Courier New"/>
                <w:sz w:val="18"/>
              </w:rPr>
              <w:t># Dual weight: 0.08 in super-responder model; 0.05 in global responder model</w:t>
            </w:r>
          </w:p>
        </w:tc>
      </w:tr>
    </w:tbl>
    <w:p>
      <w:pPr>
        <w:keepNext/>
        <w:spacing w:before="240" w:after="120"/>
      </w:pPr>
      <w:r>
        <w:rPr>
          <w:b/>
          <w:color w:val="2E5C8A"/>
          <w:sz w:val="24"/>
        </w:rPr>
        <w:t>M5.8, Global GRS Assembly</w:t>
      </w:r>
    </w:p>
    <w:p>
      <w:pPr>
        <w:spacing w:before="160" w:after="160"/>
        <w:jc w:val="center"/>
      </w:pPr>
      <w:r>
        <w:rPr>
          <w:rFonts w:ascii="Courier New" w:hAnsi="Courier New"/>
          <w:color w:val="1A1A1A"/>
          <w:sz w:val="20"/>
        </w:rPr>
        <w:t>GRS = posFactor − negFactor, clipped to [−3, +6]</w:t>
      </w:r>
    </w:p>
    <w:p>
      <w:pPr>
        <w:jc w:val="both"/>
      </w:pPr>
      <w:r>
        <w:rPr>
          <w:b w:val="0"/>
          <w:i w:val="0"/>
        </w:rPr>
        <w:t xml:space="preserve">where, in the analytical pipeline (https://github.com/stefbach/score-bmn-v3, commit aa638a7, file bmn_btm_grs_simulation.py, function compute_grs_axes lines 259–346):
posFactor = irScore·0.30 + inflamScore·0.12 + demoBonus + (betaCellAxis·0.08 if betaCellAxis ≥ 0, else 0)
negFactor = chronScore·0.18 + psychoScore·0.12 + iatroScore·0.15 + (|betaCellAxis|·0.05 if betaCellAxis &lt; 0, else 0)
Axes are summed on their native ranges (Insulin Resistance, Chronicity-Resistance, Inflammation, Psychobehavioural ∈ [0; 10]; Iatrogenic ∈ [0; 5]; demographic bonus ∈ [0; 1.3]; betaCellAxis ∈ [−3; +5]). The Axis 7 weight is sign-dependent (0.08 when betaCellAxis ≥ 0, 0.05 when betaCellAxis &lt; 0) rather than model-dependent; this implementation choice differs from a model-pair parameterisation but is mathematically equivalent for the responder task. The composite is hard-clipped to [−3, +6] as a final guard against degenerate inputs; on the NHANES cohort this clip is never binding (see §M9.4). For point-of-care deployment, a separate JavaScript implementation (score-bmn-v3.js) is in clinical alignment and is not the implementation used to generate the analytical results reported in this manuscript.</w:t>
      </w:r>
    </w:p>
    <w:p>
      <w:pPr>
        <w:keepNext/>
        <w:spacing w:before="240" w:after="120"/>
      </w:pPr>
      <w:r>
        <w:rPr>
          <w:b/>
          <w:color w:val="2E5C8A"/>
          <w:sz w:val="24"/>
        </w:rPr>
        <w:t>M5.9, Profile Assignment</w:t>
      </w:r>
    </w:p>
    <w:tbl>
      <w:tblPr>
        <w:tblW w:type="auto" w:w="0"/>
        <w:jc w:val="center"/>
        <w:tblLayout w:type="fixed"/>
        <w:tblLook w:firstColumn="1" w:firstRow="1" w:lastColumn="0" w:lastRow="0" w:noHBand="0" w:noVBand="1" w:val="04A0"/>
      </w:tblPr>
      <w:tblGrid>
        <w:gridCol w:w="3324"/>
        <w:gridCol w:w="3324"/>
        <w:gridCol w:w="3324"/>
      </w:tblGrid>
      <w:tr>
        <w:tc>
          <w:tcPr>
            <w:tcW w:type="dxa" w:w="1984"/>
            <w:shd w:val="clear" w:color="auto" w:fill="1F3864"/>
          </w:tcPr>
          <w:p>
            <w:pPr>
              <w:jc w:val="center"/>
            </w:pPr>
            <w:r/>
            <w:r>
              <w:rPr>
                <w:b/>
                <w:color w:val="FFFFFF"/>
                <w:sz w:val="18"/>
              </w:rPr>
              <w:t>Profile</w:t>
            </w:r>
          </w:p>
        </w:tc>
        <w:tc>
          <w:tcPr>
            <w:tcW w:type="dxa" w:w="1417"/>
            <w:shd w:val="clear" w:color="auto" w:fill="1F3864"/>
          </w:tcPr>
          <w:p>
            <w:pPr>
              <w:jc w:val="center"/>
            </w:pPr>
            <w:r/>
            <w:r>
              <w:rPr>
                <w:b/>
                <w:color w:val="FFFFFF"/>
                <w:sz w:val="18"/>
              </w:rPr>
              <w:t>GRS range</w:t>
            </w:r>
          </w:p>
        </w:tc>
        <w:tc>
          <w:tcPr>
            <w:tcW w:type="dxa" w:w="6236"/>
            <w:shd w:val="clear" w:color="auto" w:fill="1F3864"/>
          </w:tcPr>
          <w:p>
            <w:pPr>
              <w:jc w:val="center"/>
            </w:pPr>
            <w:r/>
            <w:r>
              <w:rPr>
                <w:b/>
                <w:color w:val="FFFFFF"/>
                <w:sz w:val="18"/>
              </w:rPr>
              <w:t>Clinical interpretation</w:t>
            </w:r>
          </w:p>
        </w:tc>
      </w:tr>
      <w:tr>
        <w:tc>
          <w:tcPr>
            <w:tcW w:type="dxa" w:w="1984"/>
          </w:tcPr>
          <w:p>
            <w:r/>
            <w:r>
              <w:rPr>
                <w:b/>
                <w:sz w:val="18"/>
              </w:rPr>
              <w:t>R1-Excellent</w:t>
            </w:r>
          </w:p>
        </w:tc>
        <w:tc>
          <w:tcPr>
            <w:tcW w:type="dxa" w:w="1417"/>
          </w:tcPr>
          <w:p>
            <w:r/>
            <w:r>
              <w:rPr>
                <w:sz w:val="18"/>
              </w:rPr>
              <w:t>≥ +4.0</w:t>
            </w:r>
          </w:p>
        </w:tc>
        <w:tc>
          <w:tcPr>
            <w:tcW w:type="dxa" w:w="6236"/>
          </w:tcPr>
          <w:p>
            <w:r/>
            <w:r>
              <w:rPr>
                <w:sz w:val="18"/>
              </w:rPr>
              <w:t>All axes favourable; preserved beta-cell function; recent obesity onset</w:t>
            </w:r>
          </w:p>
        </w:tc>
      </w:tr>
      <w:tr>
        <w:tc>
          <w:tcPr>
            <w:tcW w:type="dxa" w:w="1984"/>
            <w:shd w:val="clear" w:color="auto" w:fill="F2F6FB"/>
          </w:tcPr>
          <w:p>
            <w:r/>
            <w:r>
              <w:rPr>
                <w:b/>
                <w:sz w:val="18"/>
              </w:rPr>
              <w:t>R2-Good</w:t>
            </w:r>
          </w:p>
        </w:tc>
        <w:tc>
          <w:tcPr>
            <w:tcW w:type="dxa" w:w="1417"/>
            <w:shd w:val="clear" w:color="auto" w:fill="F2F6FB"/>
          </w:tcPr>
          <w:p>
            <w:r/>
            <w:r>
              <w:rPr>
                <w:sz w:val="18"/>
              </w:rPr>
              <w:t>+2.0 to +3.99</w:t>
            </w:r>
          </w:p>
        </w:tc>
        <w:tc>
          <w:tcPr>
            <w:tcW w:type="dxa" w:w="6236"/>
            <w:shd w:val="clear" w:color="auto" w:fill="F2F6FB"/>
          </w:tcPr>
          <w:p>
            <w:r/>
            <w:r>
              <w:rPr>
                <w:sz w:val="18"/>
              </w:rPr>
              <w:t>Mostly favourable; minor unfavourable axis</w:t>
            </w:r>
          </w:p>
        </w:tc>
      </w:tr>
      <w:tr>
        <w:tc>
          <w:tcPr>
            <w:tcW w:type="dxa" w:w="1984"/>
          </w:tcPr>
          <w:p>
            <w:r/>
            <w:r>
              <w:rPr>
                <w:b/>
                <w:sz w:val="18"/>
              </w:rPr>
              <w:t>R3-Partial</w:t>
            </w:r>
          </w:p>
        </w:tc>
        <w:tc>
          <w:tcPr>
            <w:tcW w:type="dxa" w:w="1417"/>
          </w:tcPr>
          <w:p>
            <w:r/>
            <w:r>
              <w:rPr>
                <w:sz w:val="18"/>
              </w:rPr>
              <w:t>0 to +1.99</w:t>
            </w:r>
          </w:p>
        </w:tc>
        <w:tc>
          <w:tcPr>
            <w:tcW w:type="dxa" w:w="6236"/>
          </w:tcPr>
          <w:p>
            <w:r/>
            <w:r>
              <w:rPr>
                <w:sz w:val="18"/>
              </w:rPr>
              <w:t>Mixed profile; partial response expected</w:t>
            </w:r>
          </w:p>
        </w:tc>
      </w:tr>
      <w:tr>
        <w:tc>
          <w:tcPr>
            <w:tcW w:type="dxa" w:w="1984"/>
            <w:shd w:val="clear" w:color="auto" w:fill="F2F6FB"/>
          </w:tcPr>
          <w:p>
            <w:r/>
            <w:r>
              <w:rPr>
                <w:b/>
                <w:sz w:val="18"/>
              </w:rPr>
              <w:t>R4-Attenuated</w:t>
            </w:r>
          </w:p>
        </w:tc>
        <w:tc>
          <w:tcPr>
            <w:tcW w:type="dxa" w:w="1417"/>
            <w:shd w:val="clear" w:color="auto" w:fill="F2F6FB"/>
          </w:tcPr>
          <w:p>
            <w:r/>
            <w:r>
              <w:rPr>
                <w:sz w:val="18"/>
              </w:rPr>
              <w:t>−1.99 to −0.01</w:t>
            </w:r>
          </w:p>
        </w:tc>
        <w:tc>
          <w:tcPr>
            <w:tcW w:type="dxa" w:w="6236"/>
            <w:shd w:val="clear" w:color="auto" w:fill="F2F6FB"/>
          </w:tcPr>
          <w:p>
            <w:r/>
            <w:r>
              <w:rPr>
                <w:sz w:val="18"/>
              </w:rPr>
              <w:t>Multiple unfavourable axes; consider surgical option</w:t>
            </w:r>
          </w:p>
        </w:tc>
      </w:tr>
      <w:tr>
        <w:tc>
          <w:tcPr>
            <w:tcW w:type="dxa" w:w="1984"/>
          </w:tcPr>
          <w:p>
            <w:r/>
            <w:r>
              <w:rPr>
                <w:b/>
                <w:sz w:val="18"/>
              </w:rPr>
              <w:t>NE-Non-Eligible</w:t>
            </w:r>
          </w:p>
        </w:tc>
        <w:tc>
          <w:tcPr>
            <w:tcW w:type="dxa" w:w="1417"/>
          </w:tcPr>
          <w:p>
            <w:r/>
            <w:r>
              <w:rPr>
                <w:sz w:val="18"/>
              </w:rPr>
              <w:t>≤ −2.0</w:t>
            </w:r>
          </w:p>
        </w:tc>
        <w:tc>
          <w:tcPr>
            <w:tcW w:type="dxa" w:w="6236"/>
          </w:tcPr>
          <w:p>
            <w:r/>
            <w:r>
              <w:rPr>
                <w:sz w:val="18"/>
              </w:rPr>
              <w:t>Severe iatrogenic burden, exhausted beta-cell, or contraindication</w:t>
            </w:r>
          </w:p>
        </w:tc>
      </w:tr>
    </w:tbl>
    <w:p>
      <w:r>
        <w:br w:type="page"/>
      </w:r>
    </w:p>
    <w:p>
      <w:pPr>
        <w:keepNext/>
        <w:spacing w:before="360" w:after="160"/>
      </w:pPr>
      <w:r>
        <w:rPr>
          <w:b/>
          <w:color w:val="1F3864"/>
          <w:sz w:val="28"/>
        </w:rPr>
        <w:t>M6. Bariatric-Therapeutic Module (BTM). Complete 27 × 6 Decision Matrix</w:t>
      </w:r>
    </w:p>
    <w:p>
      <w:pPr>
        <w:jc w:val="both"/>
      </w:pPr>
      <w:r>
        <w:rPr>
          <w:b w:val="0"/>
          <w:i w:val="0"/>
        </w:rPr>
        <w:t>The BTM evaluates the suitability of six therapeutic strategies across 27 clinical decision factors. Each cell (i, j) of the matrix contains a weighted score s_ij ∈ [−3, +3]; the recommended strategy is argmax_j(Σ_i w_i · s_ij). Strategy abbreviations:</w:t>
      </w:r>
    </w:p>
    <w:tbl>
      <w:tblPr>
        <w:tblW w:type="auto" w:w="0"/>
        <w:jc w:val="center"/>
        <w:tblLayout w:type="fixed"/>
        <w:tblLook w:firstColumn="1" w:firstRow="1" w:lastColumn="0" w:lastRow="0" w:noHBand="0" w:noVBand="1" w:val="04A0"/>
      </w:tblPr>
      <w:tblGrid>
        <w:gridCol w:w="3324"/>
        <w:gridCol w:w="3324"/>
        <w:gridCol w:w="3324"/>
      </w:tblGrid>
      <w:tr>
        <w:tc>
          <w:tcPr>
            <w:tcW w:type="dxa" w:w="850"/>
            <w:shd w:val="clear" w:color="auto" w:fill="1F3864"/>
          </w:tcPr>
          <w:p>
            <w:pPr>
              <w:jc w:val="center"/>
            </w:pPr>
            <w:r/>
            <w:r>
              <w:rPr>
                <w:b/>
                <w:color w:val="FFFFFF"/>
                <w:sz w:val="18"/>
              </w:rPr>
              <w:t>Code</w:t>
            </w:r>
          </w:p>
        </w:tc>
        <w:tc>
          <w:tcPr>
            <w:tcW w:type="dxa" w:w="2551"/>
            <w:shd w:val="clear" w:color="auto" w:fill="1F3864"/>
          </w:tcPr>
          <w:p>
            <w:pPr>
              <w:jc w:val="center"/>
            </w:pPr>
            <w:r/>
            <w:r>
              <w:rPr>
                <w:b/>
                <w:color w:val="FFFFFF"/>
                <w:sz w:val="18"/>
              </w:rPr>
              <w:t>Strategy</w:t>
            </w:r>
          </w:p>
        </w:tc>
        <w:tc>
          <w:tcPr>
            <w:tcW w:type="dxa" w:w="6236"/>
            <w:shd w:val="clear" w:color="auto" w:fill="1F3864"/>
          </w:tcPr>
          <w:p>
            <w:pPr>
              <w:jc w:val="center"/>
            </w:pPr>
            <w:r/>
            <w:r>
              <w:rPr>
                <w:b/>
                <w:color w:val="FFFFFF"/>
                <w:sz w:val="18"/>
              </w:rPr>
              <w:t>Description</w:t>
            </w:r>
          </w:p>
        </w:tc>
      </w:tr>
      <w:tr>
        <w:tc>
          <w:tcPr>
            <w:tcW w:type="dxa" w:w="850"/>
          </w:tcPr>
          <w:p>
            <w:r/>
            <w:r>
              <w:rPr>
                <w:b/>
                <w:sz w:val="18"/>
              </w:rPr>
              <w:t>BT-1</w:t>
            </w:r>
          </w:p>
        </w:tc>
        <w:tc>
          <w:tcPr>
            <w:tcW w:type="dxa" w:w="2551"/>
          </w:tcPr>
          <w:p>
            <w:r/>
            <w:r>
              <w:rPr>
                <w:sz w:val="18"/>
              </w:rPr>
              <w:t>Intra-gastric Balloon</w:t>
            </w:r>
          </w:p>
        </w:tc>
        <w:tc>
          <w:tcPr>
            <w:tcW w:type="dxa" w:w="6236"/>
          </w:tcPr>
          <w:p>
            <w:r/>
            <w:r>
              <w:rPr>
                <w:sz w:val="18"/>
              </w:rPr>
              <w:t>Endoscopic ballooning (Orbera, Spatz3), temporary, 6 months</w:t>
            </w:r>
          </w:p>
        </w:tc>
      </w:tr>
      <w:tr>
        <w:tc>
          <w:tcPr>
            <w:tcW w:type="dxa" w:w="850"/>
            <w:shd w:val="clear" w:color="auto" w:fill="F2F6FB"/>
          </w:tcPr>
          <w:p>
            <w:r/>
            <w:r>
              <w:rPr>
                <w:b/>
                <w:sz w:val="18"/>
              </w:rPr>
              <w:t>BT-2</w:t>
            </w:r>
          </w:p>
        </w:tc>
        <w:tc>
          <w:tcPr>
            <w:tcW w:type="dxa" w:w="2551"/>
            <w:shd w:val="clear" w:color="auto" w:fill="F2F6FB"/>
          </w:tcPr>
          <w:p>
            <w:r/>
            <w:r>
              <w:rPr>
                <w:sz w:val="18"/>
              </w:rPr>
              <w:t>Endoscopic Sleeve Gastroplasty</w:t>
            </w:r>
          </w:p>
        </w:tc>
        <w:tc>
          <w:tcPr>
            <w:tcW w:type="dxa" w:w="6236"/>
            <w:shd w:val="clear" w:color="auto" w:fill="F2F6FB"/>
          </w:tcPr>
          <w:p>
            <w:r/>
            <w:r>
              <w:rPr>
                <w:sz w:val="18"/>
              </w:rPr>
              <w:t>ESG via Apollo OverStitch, restrictive, reversible³⁷</w:t>
            </w:r>
          </w:p>
        </w:tc>
      </w:tr>
      <w:tr>
        <w:tc>
          <w:tcPr>
            <w:tcW w:type="dxa" w:w="850"/>
          </w:tcPr>
          <w:p>
            <w:r/>
            <w:r>
              <w:rPr>
                <w:b/>
                <w:sz w:val="18"/>
              </w:rPr>
              <w:t>BT-3</w:t>
            </w:r>
          </w:p>
        </w:tc>
        <w:tc>
          <w:tcPr>
            <w:tcW w:type="dxa" w:w="2551"/>
          </w:tcPr>
          <w:p>
            <w:r/>
            <w:r>
              <w:rPr>
                <w:sz w:val="18"/>
              </w:rPr>
              <w:t>Sleeve Gastrectomy</w:t>
            </w:r>
          </w:p>
        </w:tc>
        <w:tc>
          <w:tcPr>
            <w:tcW w:type="dxa" w:w="6236"/>
          </w:tcPr>
          <w:p>
            <w:r/>
            <w:r>
              <w:rPr>
                <w:sz w:val="18"/>
              </w:rPr>
              <w:t>Laparoscopic sleeve resection, restrictive, durable³⁹</w:t>
            </w:r>
          </w:p>
        </w:tc>
      </w:tr>
      <w:tr>
        <w:tc>
          <w:tcPr>
            <w:tcW w:type="dxa" w:w="850"/>
            <w:shd w:val="clear" w:color="auto" w:fill="F2F6FB"/>
          </w:tcPr>
          <w:p>
            <w:r/>
            <w:r>
              <w:rPr>
                <w:b/>
                <w:sz w:val="18"/>
              </w:rPr>
              <w:t>BT-4</w:t>
            </w:r>
          </w:p>
        </w:tc>
        <w:tc>
          <w:tcPr>
            <w:tcW w:type="dxa" w:w="2551"/>
            <w:shd w:val="clear" w:color="auto" w:fill="F2F6FB"/>
          </w:tcPr>
          <w:p>
            <w:r/>
            <w:r>
              <w:rPr>
                <w:sz w:val="18"/>
              </w:rPr>
              <w:t>Roux-en-Y Gastric Bypass</w:t>
            </w:r>
          </w:p>
        </w:tc>
        <w:tc>
          <w:tcPr>
            <w:tcW w:type="dxa" w:w="6236"/>
            <w:shd w:val="clear" w:color="auto" w:fill="F2F6FB"/>
          </w:tcPr>
          <w:p>
            <w:r/>
            <w:r>
              <w:rPr>
                <w:sz w:val="18"/>
              </w:rPr>
              <w:t>RYGB, restrictive + malabsorptive + hormonal³⁸</w:t>
            </w:r>
          </w:p>
        </w:tc>
      </w:tr>
      <w:tr>
        <w:tc>
          <w:tcPr>
            <w:tcW w:type="dxa" w:w="850"/>
          </w:tcPr>
          <w:p>
            <w:r/>
            <w:r>
              <w:rPr>
                <w:b/>
                <w:sz w:val="18"/>
              </w:rPr>
              <w:t>BT-5</w:t>
            </w:r>
          </w:p>
        </w:tc>
        <w:tc>
          <w:tcPr>
            <w:tcW w:type="dxa" w:w="2551"/>
          </w:tcPr>
          <w:p>
            <w:r/>
            <w:r>
              <w:rPr>
                <w:sz w:val="18"/>
              </w:rPr>
              <w:t>GLP-1 Monotherapy</w:t>
            </w:r>
          </w:p>
        </w:tc>
        <w:tc>
          <w:tcPr>
            <w:tcW w:type="dxa" w:w="6236"/>
          </w:tcPr>
          <w:p>
            <w:r/>
            <w:r>
              <w:rPr>
                <w:sz w:val="18"/>
              </w:rPr>
              <w:t>Semaglutide 2.4 mg or Tirzepatide 15 mg weekly⁶,⁷</w:t>
            </w:r>
          </w:p>
        </w:tc>
      </w:tr>
      <w:tr>
        <w:tc>
          <w:tcPr>
            <w:tcW w:type="dxa" w:w="850"/>
            <w:shd w:val="clear" w:color="auto" w:fill="F2F6FB"/>
          </w:tcPr>
          <w:p>
            <w:r/>
            <w:r>
              <w:rPr>
                <w:b/>
                <w:sz w:val="18"/>
              </w:rPr>
              <w:t>BT-6</w:t>
            </w:r>
          </w:p>
        </w:tc>
        <w:tc>
          <w:tcPr>
            <w:tcW w:type="dxa" w:w="2551"/>
            <w:shd w:val="clear" w:color="auto" w:fill="F2F6FB"/>
          </w:tcPr>
          <w:p>
            <w:r/>
            <w:r>
              <w:rPr>
                <w:sz w:val="18"/>
              </w:rPr>
              <w:t>Combination Therapy</w:t>
            </w:r>
          </w:p>
        </w:tc>
        <w:tc>
          <w:tcPr>
            <w:tcW w:type="dxa" w:w="6236"/>
            <w:shd w:val="clear" w:color="auto" w:fill="F2F6FB"/>
          </w:tcPr>
          <w:p>
            <w:r/>
            <w:r>
              <w:rPr>
                <w:sz w:val="18"/>
              </w:rPr>
              <w:t>ESG + GLP-1, or staged surgery + GLP-1 maintenance</w:t>
            </w:r>
          </w:p>
        </w:tc>
      </w:tr>
    </w:tbl>
    <w:p>
      <w:pPr>
        <w:keepNext/>
        <w:spacing w:before="240" w:after="120"/>
      </w:pPr>
      <w:r>
        <w:rPr>
          <w:b/>
          <w:color w:val="2E5C8A"/>
          <w:sz w:val="24"/>
        </w:rPr>
        <w:t>M6.1, Full 27 × 6 Scoring Matrix</w:t>
      </w:r>
    </w:p>
    <w:p>
      <w:pPr>
        <w:jc w:val="both"/>
      </w:pPr>
      <w:r>
        <w:rPr>
          <w:b w:val="0"/>
          <w:i w:val="0"/>
        </w:rPr>
        <w:t>Each row is a clinical decision factor; each column is a therapeutic strategy. Cells contain s_ij scores (−3 = strongly contraindicated; +3 = strongly indicated). The right-most column documents the literature source for the factor-strategy mapping. Where a cell is empty, no validated evidence allows a recommendation in either direction (score = 0).</w:t>
      </w:r>
    </w:p>
    <w:tbl>
      <w:tblPr>
        <w:tblW w:type="auto" w:w="0"/>
        <w:jc w:val="center"/>
        <w:tblLayout w:type="fixed"/>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397"/>
            <w:shd w:val="clear" w:color="auto" w:fill="1F3864"/>
          </w:tcPr>
          <w:p>
            <w:pPr>
              <w:jc w:val="center"/>
            </w:pPr>
            <w:r/>
            <w:r>
              <w:rPr>
                <w:b/>
                <w:color w:val="FFFFFF"/>
                <w:sz w:val="16"/>
              </w:rPr>
              <w:t>#</w:t>
            </w:r>
          </w:p>
        </w:tc>
        <w:tc>
          <w:tcPr>
            <w:tcW w:type="dxa" w:w="2948"/>
            <w:shd w:val="clear" w:color="auto" w:fill="1F3864"/>
          </w:tcPr>
          <w:p>
            <w:pPr>
              <w:jc w:val="center"/>
            </w:pPr>
            <w:r/>
            <w:r>
              <w:rPr>
                <w:b/>
                <w:color w:val="FFFFFF"/>
                <w:sz w:val="16"/>
              </w:rPr>
              <w:t>Decision factor</w:t>
            </w:r>
          </w:p>
        </w:tc>
        <w:tc>
          <w:tcPr>
            <w:tcW w:type="dxa" w:w="567"/>
            <w:shd w:val="clear" w:color="auto" w:fill="1F3864"/>
          </w:tcPr>
          <w:p>
            <w:pPr>
              <w:jc w:val="center"/>
            </w:pPr>
            <w:r/>
            <w:r>
              <w:rPr>
                <w:b/>
                <w:color w:val="FFFFFF"/>
                <w:sz w:val="16"/>
              </w:rPr>
              <w:t>Weight w_i</w:t>
            </w:r>
          </w:p>
        </w:tc>
        <w:tc>
          <w:tcPr>
            <w:tcW w:type="dxa" w:w="624"/>
            <w:shd w:val="clear" w:color="auto" w:fill="1F3864"/>
          </w:tcPr>
          <w:p>
            <w:pPr>
              <w:jc w:val="center"/>
            </w:pPr>
            <w:r/>
            <w:r>
              <w:rPr>
                <w:b/>
                <w:color w:val="FFFFFF"/>
                <w:sz w:val="16"/>
              </w:rPr>
              <w:t>BT-1</w:t>
              <w:br/>
              <w:t>Balloon</w:t>
            </w:r>
          </w:p>
        </w:tc>
        <w:tc>
          <w:tcPr>
            <w:tcW w:type="dxa" w:w="624"/>
            <w:shd w:val="clear" w:color="auto" w:fill="1F3864"/>
          </w:tcPr>
          <w:p>
            <w:pPr>
              <w:jc w:val="center"/>
            </w:pPr>
            <w:r/>
            <w:r>
              <w:rPr>
                <w:b/>
                <w:color w:val="FFFFFF"/>
                <w:sz w:val="16"/>
              </w:rPr>
              <w:t>BT-2</w:t>
              <w:br/>
              <w:t>ESG</w:t>
            </w:r>
          </w:p>
        </w:tc>
        <w:tc>
          <w:tcPr>
            <w:tcW w:type="dxa" w:w="624"/>
            <w:shd w:val="clear" w:color="auto" w:fill="1F3864"/>
          </w:tcPr>
          <w:p>
            <w:pPr>
              <w:jc w:val="center"/>
            </w:pPr>
            <w:r/>
            <w:r>
              <w:rPr>
                <w:b/>
                <w:color w:val="FFFFFF"/>
                <w:sz w:val="16"/>
              </w:rPr>
              <w:t>BT-3</w:t>
              <w:br/>
              <w:t>Sleeve</w:t>
            </w:r>
          </w:p>
        </w:tc>
        <w:tc>
          <w:tcPr>
            <w:tcW w:type="dxa" w:w="624"/>
            <w:shd w:val="clear" w:color="auto" w:fill="1F3864"/>
          </w:tcPr>
          <w:p>
            <w:pPr>
              <w:jc w:val="center"/>
            </w:pPr>
            <w:r/>
            <w:r>
              <w:rPr>
                <w:b/>
                <w:color w:val="FFFFFF"/>
                <w:sz w:val="16"/>
              </w:rPr>
              <w:t>BT-4</w:t>
              <w:br/>
              <w:t>RYGB</w:t>
            </w:r>
          </w:p>
        </w:tc>
        <w:tc>
          <w:tcPr>
            <w:tcW w:type="dxa" w:w="624"/>
            <w:shd w:val="clear" w:color="auto" w:fill="1F3864"/>
          </w:tcPr>
          <w:p>
            <w:pPr>
              <w:jc w:val="center"/>
            </w:pPr>
            <w:r/>
            <w:r>
              <w:rPr>
                <w:b/>
                <w:color w:val="FFFFFF"/>
                <w:sz w:val="16"/>
              </w:rPr>
              <w:t>BT-5</w:t>
              <w:br/>
              <w:t>GLP-1</w:t>
            </w:r>
          </w:p>
        </w:tc>
        <w:tc>
          <w:tcPr>
            <w:tcW w:type="dxa" w:w="624"/>
            <w:shd w:val="clear" w:color="auto" w:fill="1F3864"/>
          </w:tcPr>
          <w:p>
            <w:pPr>
              <w:jc w:val="center"/>
            </w:pPr>
            <w:r/>
            <w:r>
              <w:rPr>
                <w:b/>
                <w:color w:val="FFFFFF"/>
                <w:sz w:val="16"/>
              </w:rPr>
              <w:t>BT-6</w:t>
              <w:br/>
              <w:t>Combo</w:t>
            </w:r>
          </w:p>
        </w:tc>
        <w:tc>
          <w:tcPr>
            <w:tcW w:type="dxa" w:w="1984"/>
            <w:shd w:val="clear" w:color="auto" w:fill="1F3864"/>
          </w:tcPr>
          <w:p>
            <w:pPr>
              <w:jc w:val="center"/>
            </w:pPr>
            <w:r/>
            <w:r>
              <w:rPr>
                <w:b/>
                <w:color w:val="FFFFFF"/>
                <w:sz w:val="16"/>
              </w:rPr>
              <w:t>Evidence</w:t>
            </w:r>
          </w:p>
        </w:tc>
      </w:tr>
      <w:tr>
        <w:tc>
          <w:tcPr>
            <w:tcW w:type="dxa" w:w="397"/>
          </w:tcPr>
          <w:p>
            <w:r/>
            <w:r>
              <w:rPr>
                <w:b/>
                <w:sz w:val="16"/>
              </w:rPr>
              <w:t>1</w:t>
            </w:r>
          </w:p>
        </w:tc>
        <w:tc>
          <w:tcPr>
            <w:tcW w:type="dxa" w:w="2948"/>
          </w:tcPr>
          <w:p>
            <w:r/>
            <w:r>
              <w:rPr>
                <w:sz w:val="16"/>
              </w:rPr>
              <w:t>BMI 27–29.9 (overweight)</w:t>
            </w:r>
          </w:p>
        </w:tc>
        <w:tc>
          <w:tcPr>
            <w:tcW w:type="dxa" w:w="567"/>
          </w:tcPr>
          <w:p>
            <w:r/>
            <w:r>
              <w:rPr>
                <w:sz w:val="16"/>
              </w:rPr>
              <w:t>0.05</w:t>
            </w:r>
          </w:p>
        </w:tc>
        <w:tc>
          <w:tcPr>
            <w:tcW w:type="dxa" w:w="624"/>
          </w:tcPr>
          <w:p>
            <w:r/>
            <w:r>
              <w:rPr>
                <w:sz w:val="16"/>
              </w:rPr>
              <w:t>+1</w:t>
            </w:r>
          </w:p>
        </w:tc>
        <w:tc>
          <w:tcPr>
            <w:tcW w:type="dxa" w:w="624"/>
          </w:tcPr>
          <w:p>
            <w:r/>
            <w:r>
              <w:rPr>
                <w:sz w:val="16"/>
              </w:rPr>
              <w:t>+1</w:t>
            </w:r>
          </w:p>
        </w:tc>
        <w:tc>
          <w:tcPr>
            <w:tcW w:type="dxa" w:w="624"/>
          </w:tcPr>
          <w:p>
            <w:r/>
            <w:r>
              <w:rPr>
                <w:sz w:val="16"/>
              </w:rPr>
              <w:t>−2</w:t>
            </w:r>
          </w:p>
        </w:tc>
        <w:tc>
          <w:tcPr>
            <w:tcW w:type="dxa" w:w="624"/>
          </w:tcPr>
          <w:p>
            <w:r/>
            <w:r>
              <w:rPr>
                <w:sz w:val="16"/>
              </w:rPr>
              <w:t>−3</w:t>
            </w:r>
          </w:p>
        </w:tc>
        <w:tc>
          <w:tcPr>
            <w:tcW w:type="dxa" w:w="624"/>
          </w:tcPr>
          <w:p>
            <w:r/>
            <w:r>
              <w:rPr>
                <w:sz w:val="16"/>
              </w:rPr>
              <w:t>+3</w:t>
            </w:r>
          </w:p>
        </w:tc>
        <w:tc>
          <w:tcPr>
            <w:tcW w:type="dxa" w:w="624"/>
          </w:tcPr>
          <w:p>
            <w:r/>
            <w:r>
              <w:rPr>
                <w:sz w:val="16"/>
              </w:rPr>
              <w:t>+1</w:t>
            </w:r>
          </w:p>
        </w:tc>
        <w:tc>
          <w:tcPr>
            <w:tcW w:type="dxa" w:w="1984"/>
          </w:tcPr>
          <w:p>
            <w:r/>
            <w:r>
              <w:rPr>
                <w:sz w:val="16"/>
              </w:rPr>
              <w:t>STEP 1⁶</w:t>
            </w:r>
          </w:p>
        </w:tc>
      </w:tr>
      <w:tr>
        <w:tc>
          <w:tcPr>
            <w:tcW w:type="dxa" w:w="397"/>
            <w:shd w:val="clear" w:color="auto" w:fill="F2F6FB"/>
          </w:tcPr>
          <w:p>
            <w:r/>
            <w:r>
              <w:rPr>
                <w:b/>
                <w:sz w:val="16"/>
              </w:rPr>
              <w:t>2</w:t>
            </w:r>
          </w:p>
        </w:tc>
        <w:tc>
          <w:tcPr>
            <w:tcW w:type="dxa" w:w="2948"/>
            <w:shd w:val="clear" w:color="auto" w:fill="F2F6FB"/>
          </w:tcPr>
          <w:p>
            <w:r/>
            <w:r>
              <w:rPr>
                <w:sz w:val="16"/>
              </w:rPr>
              <w:t>BMI 30–34.9 (Class I)</w:t>
            </w:r>
          </w:p>
        </w:tc>
        <w:tc>
          <w:tcPr>
            <w:tcW w:type="dxa" w:w="567"/>
            <w:shd w:val="clear" w:color="auto" w:fill="F2F6FB"/>
          </w:tcPr>
          <w:p>
            <w:r/>
            <w:r>
              <w:rPr>
                <w:sz w:val="16"/>
              </w:rPr>
              <w:t>0.06</w:t>
            </w:r>
          </w:p>
        </w:tc>
        <w:tc>
          <w:tcPr>
            <w:tcW w:type="dxa" w:w="624"/>
            <w:shd w:val="clear" w:color="auto" w:fill="F2F6FB"/>
          </w:tcPr>
          <w:p>
            <w:r/>
            <w:r>
              <w:rPr>
                <w:sz w:val="16"/>
              </w:rPr>
              <w:t>+2</w:t>
            </w:r>
          </w:p>
        </w:tc>
        <w:tc>
          <w:tcPr>
            <w:tcW w:type="dxa" w:w="624"/>
            <w:shd w:val="clear" w:color="auto" w:fill="F2F6FB"/>
          </w:tcPr>
          <w:p>
            <w:r/>
            <w:r>
              <w:rPr>
                <w:sz w:val="16"/>
              </w:rPr>
              <w:t>+3</w:t>
            </w:r>
          </w:p>
        </w:tc>
        <w:tc>
          <w:tcPr>
            <w:tcW w:type="dxa" w:w="624"/>
            <w:shd w:val="clear" w:color="auto" w:fill="F2F6FB"/>
          </w:tcPr>
          <w:p>
            <w:r/>
            <w:r>
              <w:rPr>
                <w:sz w:val="16"/>
              </w:rPr>
              <w:t>+1</w:t>
            </w:r>
          </w:p>
        </w:tc>
        <w:tc>
          <w:tcPr>
            <w:tcW w:type="dxa" w:w="624"/>
            <w:shd w:val="clear" w:color="auto" w:fill="F2F6FB"/>
          </w:tcPr>
          <w:p>
            <w:r/>
            <w:r>
              <w:rPr>
                <w:sz w:val="16"/>
              </w:rPr>
              <w:t>0</w:t>
            </w:r>
          </w:p>
        </w:tc>
        <w:tc>
          <w:tcPr>
            <w:tcW w:type="dxa" w:w="624"/>
            <w:shd w:val="clear" w:color="auto" w:fill="F2F6FB"/>
          </w:tcPr>
          <w:p>
            <w:r/>
            <w:r>
              <w:rPr>
                <w:sz w:val="16"/>
              </w:rPr>
              <w:t>+3</w:t>
            </w:r>
          </w:p>
        </w:tc>
        <w:tc>
          <w:tcPr>
            <w:tcW w:type="dxa" w:w="624"/>
            <w:shd w:val="clear" w:color="auto" w:fill="F2F6FB"/>
          </w:tcPr>
          <w:p>
            <w:r/>
            <w:r>
              <w:rPr>
                <w:sz w:val="16"/>
              </w:rPr>
              <w:t>+2</w:t>
            </w:r>
          </w:p>
        </w:tc>
        <w:tc>
          <w:tcPr>
            <w:tcW w:type="dxa" w:w="1984"/>
            <w:shd w:val="clear" w:color="auto" w:fill="F2F6FB"/>
          </w:tcPr>
          <w:p>
            <w:r/>
            <w:r>
              <w:rPr>
                <w:sz w:val="16"/>
              </w:rPr>
              <w:t>STEP 1⁶</w:t>
            </w:r>
          </w:p>
        </w:tc>
      </w:tr>
      <w:tr>
        <w:tc>
          <w:tcPr>
            <w:tcW w:type="dxa" w:w="397"/>
          </w:tcPr>
          <w:p>
            <w:r/>
            <w:r>
              <w:rPr>
                <w:b/>
                <w:sz w:val="16"/>
              </w:rPr>
              <w:t>3</w:t>
            </w:r>
          </w:p>
        </w:tc>
        <w:tc>
          <w:tcPr>
            <w:tcW w:type="dxa" w:w="2948"/>
          </w:tcPr>
          <w:p>
            <w:r/>
            <w:r>
              <w:rPr>
                <w:sz w:val="16"/>
              </w:rPr>
              <w:t>BMI 35–39.9 (Class II)</w:t>
            </w:r>
          </w:p>
        </w:tc>
        <w:tc>
          <w:tcPr>
            <w:tcW w:type="dxa" w:w="567"/>
          </w:tcPr>
          <w:p>
            <w:r/>
            <w:r>
              <w:rPr>
                <w:sz w:val="16"/>
              </w:rPr>
              <w:t>0.06</w:t>
            </w:r>
          </w:p>
        </w:tc>
        <w:tc>
          <w:tcPr>
            <w:tcW w:type="dxa" w:w="624"/>
          </w:tcPr>
          <w:p>
            <w:r/>
            <w:r>
              <w:rPr>
                <w:sz w:val="16"/>
              </w:rPr>
              <w:t>+1</w:t>
            </w:r>
          </w:p>
        </w:tc>
        <w:tc>
          <w:tcPr>
            <w:tcW w:type="dxa" w:w="624"/>
          </w:tcPr>
          <w:p>
            <w:r/>
            <w:r>
              <w:rPr>
                <w:sz w:val="16"/>
              </w:rPr>
              <w:t>+3</w:t>
            </w:r>
          </w:p>
        </w:tc>
        <w:tc>
          <w:tcPr>
            <w:tcW w:type="dxa" w:w="624"/>
          </w:tcPr>
          <w:p>
            <w:r/>
            <w:r>
              <w:rPr>
                <w:sz w:val="16"/>
              </w:rPr>
              <w:t>+3</w:t>
            </w:r>
          </w:p>
        </w:tc>
        <w:tc>
          <w:tcPr>
            <w:tcW w:type="dxa" w:w="624"/>
          </w:tcPr>
          <w:p>
            <w:r/>
            <w:r>
              <w:rPr>
                <w:sz w:val="16"/>
              </w:rPr>
              <w:t>+2</w:t>
            </w:r>
          </w:p>
        </w:tc>
        <w:tc>
          <w:tcPr>
            <w:tcW w:type="dxa" w:w="624"/>
          </w:tcPr>
          <w:p>
            <w:r/>
            <w:r>
              <w:rPr>
                <w:sz w:val="16"/>
              </w:rPr>
              <w:t>+2</w:t>
            </w:r>
          </w:p>
        </w:tc>
        <w:tc>
          <w:tcPr>
            <w:tcW w:type="dxa" w:w="624"/>
          </w:tcPr>
          <w:p>
            <w:r/>
            <w:r>
              <w:rPr>
                <w:sz w:val="16"/>
              </w:rPr>
              <w:t>+3</w:t>
            </w:r>
          </w:p>
        </w:tc>
        <w:tc>
          <w:tcPr>
            <w:tcW w:type="dxa" w:w="1984"/>
          </w:tcPr>
          <w:p>
            <w:r/>
            <w:r>
              <w:rPr>
                <w:sz w:val="16"/>
              </w:rPr>
              <w:t>SURMOUNT-1⁷</w:t>
            </w:r>
          </w:p>
        </w:tc>
      </w:tr>
      <w:tr>
        <w:tc>
          <w:tcPr>
            <w:tcW w:type="dxa" w:w="397"/>
            <w:shd w:val="clear" w:color="auto" w:fill="F2F6FB"/>
          </w:tcPr>
          <w:p>
            <w:r/>
            <w:r>
              <w:rPr>
                <w:b/>
                <w:sz w:val="16"/>
              </w:rPr>
              <w:t>4</w:t>
            </w:r>
          </w:p>
        </w:tc>
        <w:tc>
          <w:tcPr>
            <w:tcW w:type="dxa" w:w="2948"/>
            <w:shd w:val="clear" w:color="auto" w:fill="F2F6FB"/>
          </w:tcPr>
          <w:p>
            <w:r/>
            <w:r>
              <w:rPr>
                <w:sz w:val="16"/>
              </w:rPr>
              <w:t>BMI 40–49.9 (Class III)</w:t>
            </w:r>
          </w:p>
        </w:tc>
        <w:tc>
          <w:tcPr>
            <w:tcW w:type="dxa" w:w="567"/>
            <w:shd w:val="clear" w:color="auto" w:fill="F2F6FB"/>
          </w:tcPr>
          <w:p>
            <w:r/>
            <w:r>
              <w:rPr>
                <w:sz w:val="16"/>
              </w:rPr>
              <w:t>0.06</w:t>
            </w:r>
          </w:p>
        </w:tc>
        <w:tc>
          <w:tcPr>
            <w:tcW w:type="dxa" w:w="624"/>
            <w:shd w:val="clear" w:color="auto" w:fill="F2F6FB"/>
          </w:tcPr>
          <w:p>
            <w:r/>
            <w:r>
              <w:rPr>
                <w:sz w:val="16"/>
              </w:rPr>
              <w:t>0</w:t>
            </w:r>
          </w:p>
        </w:tc>
        <w:tc>
          <w:tcPr>
            <w:tcW w:type="dxa" w:w="624"/>
            <w:shd w:val="clear" w:color="auto" w:fill="F2F6FB"/>
          </w:tcPr>
          <w:p>
            <w:r/>
            <w:r>
              <w:rPr>
                <w:sz w:val="16"/>
              </w:rPr>
              <w:t>+1</w:t>
            </w:r>
          </w:p>
        </w:tc>
        <w:tc>
          <w:tcPr>
            <w:tcW w:type="dxa" w:w="624"/>
            <w:shd w:val="clear" w:color="auto" w:fill="F2F6FB"/>
          </w:tcPr>
          <w:p>
            <w:r/>
            <w:r>
              <w:rPr>
                <w:sz w:val="16"/>
              </w:rPr>
              <w:t>+3</w:t>
            </w:r>
          </w:p>
        </w:tc>
        <w:tc>
          <w:tcPr>
            <w:tcW w:type="dxa" w:w="624"/>
            <w:shd w:val="clear" w:color="auto" w:fill="F2F6FB"/>
          </w:tcPr>
          <w:p>
            <w:r/>
            <w:r>
              <w:rPr>
                <w:sz w:val="16"/>
              </w:rPr>
              <w:t>+3</w:t>
            </w:r>
          </w:p>
        </w:tc>
        <w:tc>
          <w:tcPr>
            <w:tcW w:type="dxa" w:w="624"/>
            <w:shd w:val="clear" w:color="auto" w:fill="F2F6FB"/>
          </w:tcPr>
          <w:p>
            <w:r/>
            <w:r>
              <w:rPr>
                <w:sz w:val="16"/>
              </w:rPr>
              <w:t>+1</w:t>
            </w:r>
          </w:p>
        </w:tc>
        <w:tc>
          <w:tcPr>
            <w:tcW w:type="dxa" w:w="624"/>
            <w:shd w:val="clear" w:color="auto" w:fill="F2F6FB"/>
          </w:tcPr>
          <w:p>
            <w:r/>
            <w:r>
              <w:rPr>
                <w:sz w:val="16"/>
              </w:rPr>
              <w:t>+3</w:t>
            </w:r>
          </w:p>
        </w:tc>
        <w:tc>
          <w:tcPr>
            <w:tcW w:type="dxa" w:w="1984"/>
            <w:shd w:val="clear" w:color="auto" w:fill="F2F6FB"/>
          </w:tcPr>
          <w:p>
            <w:r/>
            <w:r>
              <w:rPr>
                <w:sz w:val="16"/>
              </w:rPr>
              <w:t>Adams³⁸</w:t>
            </w:r>
          </w:p>
        </w:tc>
      </w:tr>
      <w:tr>
        <w:tc>
          <w:tcPr>
            <w:tcW w:type="dxa" w:w="397"/>
          </w:tcPr>
          <w:p>
            <w:r/>
            <w:r>
              <w:rPr>
                <w:b/>
                <w:sz w:val="16"/>
              </w:rPr>
              <w:t>5</w:t>
            </w:r>
          </w:p>
        </w:tc>
        <w:tc>
          <w:tcPr>
            <w:tcW w:type="dxa" w:w="2948"/>
          </w:tcPr>
          <w:p>
            <w:r/>
            <w:r>
              <w:rPr>
                <w:sz w:val="16"/>
              </w:rPr>
              <w:t>BMI ≥ 50 (super-obesity)</w:t>
            </w:r>
          </w:p>
        </w:tc>
        <w:tc>
          <w:tcPr>
            <w:tcW w:type="dxa" w:w="567"/>
          </w:tcPr>
          <w:p>
            <w:r/>
            <w:r>
              <w:rPr>
                <w:sz w:val="16"/>
              </w:rPr>
              <w:t>0.05</w:t>
            </w:r>
          </w:p>
        </w:tc>
        <w:tc>
          <w:tcPr>
            <w:tcW w:type="dxa" w:w="624"/>
          </w:tcPr>
          <w:p>
            <w:r/>
            <w:r>
              <w:rPr>
                <w:sz w:val="16"/>
              </w:rPr>
              <w:t>−2</w:t>
            </w:r>
          </w:p>
        </w:tc>
        <w:tc>
          <w:tcPr>
            <w:tcW w:type="dxa" w:w="624"/>
          </w:tcPr>
          <w:p>
            <w:r/>
            <w:r>
              <w:rPr>
                <w:sz w:val="16"/>
              </w:rPr>
              <w:t>−1</w:t>
            </w:r>
          </w:p>
        </w:tc>
        <w:tc>
          <w:tcPr>
            <w:tcW w:type="dxa" w:w="624"/>
          </w:tcPr>
          <w:p>
            <w:r/>
            <w:r>
              <w:rPr>
                <w:sz w:val="16"/>
              </w:rPr>
              <w:t>+1</w:t>
            </w:r>
          </w:p>
        </w:tc>
        <w:tc>
          <w:tcPr>
            <w:tcW w:type="dxa" w:w="624"/>
          </w:tcPr>
          <w:p>
            <w:r/>
            <w:r>
              <w:rPr>
                <w:sz w:val="16"/>
              </w:rPr>
              <w:t>+3</w:t>
            </w:r>
          </w:p>
        </w:tc>
        <w:tc>
          <w:tcPr>
            <w:tcW w:type="dxa" w:w="624"/>
          </w:tcPr>
          <w:p>
            <w:r/>
            <w:r>
              <w:rPr>
                <w:sz w:val="16"/>
              </w:rPr>
              <w:t>0</w:t>
            </w:r>
          </w:p>
        </w:tc>
        <w:tc>
          <w:tcPr>
            <w:tcW w:type="dxa" w:w="624"/>
          </w:tcPr>
          <w:p>
            <w:r/>
            <w:r>
              <w:rPr>
                <w:sz w:val="16"/>
              </w:rPr>
              <w:t>+2</w:t>
            </w:r>
          </w:p>
        </w:tc>
        <w:tc>
          <w:tcPr>
            <w:tcW w:type="dxa" w:w="1984"/>
          </w:tcPr>
          <w:p>
            <w:r/>
            <w:r>
              <w:rPr>
                <w:sz w:val="16"/>
              </w:rPr>
              <w:t>Adams³⁸</w:t>
            </w:r>
          </w:p>
        </w:tc>
      </w:tr>
      <w:tr>
        <w:tc>
          <w:tcPr>
            <w:tcW w:type="dxa" w:w="397"/>
            <w:shd w:val="clear" w:color="auto" w:fill="F2F6FB"/>
          </w:tcPr>
          <w:p>
            <w:r/>
            <w:r>
              <w:rPr>
                <w:b/>
                <w:sz w:val="16"/>
              </w:rPr>
              <w:t>6</w:t>
            </w:r>
          </w:p>
        </w:tc>
        <w:tc>
          <w:tcPr>
            <w:tcW w:type="dxa" w:w="2948"/>
            <w:shd w:val="clear" w:color="auto" w:fill="F2F6FB"/>
          </w:tcPr>
          <w:p>
            <w:r/>
            <w:r>
              <w:rPr>
                <w:sz w:val="16"/>
              </w:rPr>
              <w:t>T2DM with HbA1c &lt; 7%</w:t>
            </w:r>
          </w:p>
        </w:tc>
        <w:tc>
          <w:tcPr>
            <w:tcW w:type="dxa" w:w="567"/>
            <w:shd w:val="clear" w:color="auto" w:fill="F2F6FB"/>
          </w:tcPr>
          <w:p>
            <w:r/>
            <w:r>
              <w:rPr>
                <w:sz w:val="16"/>
              </w:rPr>
              <w:t>0.05</w:t>
            </w:r>
          </w:p>
        </w:tc>
        <w:tc>
          <w:tcPr>
            <w:tcW w:type="dxa" w:w="624"/>
            <w:shd w:val="clear" w:color="auto" w:fill="F2F6FB"/>
          </w:tcPr>
          <w:p>
            <w:r/>
            <w:r>
              <w:rPr>
                <w:sz w:val="16"/>
              </w:rPr>
              <w:t>+1</w:t>
            </w:r>
          </w:p>
        </w:tc>
        <w:tc>
          <w:tcPr>
            <w:tcW w:type="dxa" w:w="624"/>
            <w:shd w:val="clear" w:color="auto" w:fill="F2F6FB"/>
          </w:tcPr>
          <w:p>
            <w:r/>
            <w:r>
              <w:rPr>
                <w:sz w:val="16"/>
              </w:rPr>
              <w:t>+1</w:t>
            </w:r>
          </w:p>
        </w:tc>
        <w:tc>
          <w:tcPr>
            <w:tcW w:type="dxa" w:w="624"/>
            <w:shd w:val="clear" w:color="auto" w:fill="F2F6FB"/>
          </w:tcPr>
          <w:p>
            <w:r/>
            <w:r>
              <w:rPr>
                <w:sz w:val="16"/>
              </w:rPr>
              <w:t>+2</w:t>
            </w:r>
          </w:p>
        </w:tc>
        <w:tc>
          <w:tcPr>
            <w:tcW w:type="dxa" w:w="624"/>
            <w:shd w:val="clear" w:color="auto" w:fill="F2F6FB"/>
          </w:tcPr>
          <w:p>
            <w:r/>
            <w:r>
              <w:rPr>
                <w:sz w:val="16"/>
              </w:rPr>
              <w:t>+3</w:t>
            </w:r>
          </w:p>
        </w:tc>
        <w:tc>
          <w:tcPr>
            <w:tcW w:type="dxa" w:w="624"/>
            <w:shd w:val="clear" w:color="auto" w:fill="F2F6FB"/>
          </w:tcPr>
          <w:p>
            <w:r/>
            <w:r>
              <w:rPr>
                <w:sz w:val="16"/>
              </w:rPr>
              <w:t>+3</w:t>
            </w:r>
          </w:p>
        </w:tc>
        <w:tc>
          <w:tcPr>
            <w:tcW w:type="dxa" w:w="624"/>
            <w:shd w:val="clear" w:color="auto" w:fill="F2F6FB"/>
          </w:tcPr>
          <w:p>
            <w:r/>
            <w:r>
              <w:rPr>
                <w:sz w:val="16"/>
              </w:rPr>
              <w:t>+3</w:t>
            </w:r>
          </w:p>
        </w:tc>
        <w:tc>
          <w:tcPr>
            <w:tcW w:type="dxa" w:w="1984"/>
            <w:shd w:val="clear" w:color="auto" w:fill="F2F6FB"/>
          </w:tcPr>
          <w:p>
            <w:r/>
            <w:r>
              <w:rPr>
                <w:sz w:val="16"/>
              </w:rPr>
              <w:t>SURMOUNT-2¹¹</w:t>
            </w:r>
          </w:p>
        </w:tc>
      </w:tr>
      <w:tr>
        <w:tc>
          <w:tcPr>
            <w:tcW w:type="dxa" w:w="397"/>
          </w:tcPr>
          <w:p>
            <w:r/>
            <w:r>
              <w:rPr>
                <w:b/>
                <w:sz w:val="16"/>
              </w:rPr>
              <w:t>7</w:t>
            </w:r>
          </w:p>
        </w:tc>
        <w:tc>
          <w:tcPr>
            <w:tcW w:type="dxa" w:w="2948"/>
          </w:tcPr>
          <w:p>
            <w:r/>
            <w:r>
              <w:rPr>
                <w:sz w:val="16"/>
              </w:rPr>
              <w:t>T2DM with HbA1c ≥ 7%</w:t>
            </w:r>
          </w:p>
        </w:tc>
        <w:tc>
          <w:tcPr>
            <w:tcW w:type="dxa" w:w="567"/>
          </w:tcPr>
          <w:p>
            <w:r/>
            <w:r>
              <w:rPr>
                <w:sz w:val="16"/>
              </w:rPr>
              <w:t>0.05</w:t>
            </w:r>
          </w:p>
        </w:tc>
        <w:tc>
          <w:tcPr>
            <w:tcW w:type="dxa" w:w="624"/>
          </w:tcPr>
          <w:p>
            <w:r/>
            <w:r>
              <w:rPr>
                <w:sz w:val="16"/>
              </w:rPr>
              <w:t>0</w:t>
            </w:r>
          </w:p>
        </w:tc>
        <w:tc>
          <w:tcPr>
            <w:tcW w:type="dxa" w:w="624"/>
          </w:tcPr>
          <w:p>
            <w:r/>
            <w:r>
              <w:rPr>
                <w:sz w:val="16"/>
              </w:rPr>
              <w:t>+1</w:t>
            </w:r>
          </w:p>
        </w:tc>
        <w:tc>
          <w:tcPr>
            <w:tcW w:type="dxa" w:w="624"/>
          </w:tcPr>
          <w:p>
            <w:r/>
            <w:r>
              <w:rPr>
                <w:sz w:val="16"/>
              </w:rPr>
              <w:t>+2</w:t>
            </w:r>
          </w:p>
        </w:tc>
        <w:tc>
          <w:tcPr>
            <w:tcW w:type="dxa" w:w="624"/>
          </w:tcPr>
          <w:p>
            <w:r/>
            <w:r>
              <w:rPr>
                <w:sz w:val="16"/>
              </w:rPr>
              <w:t>+3</w:t>
            </w:r>
          </w:p>
        </w:tc>
        <w:tc>
          <w:tcPr>
            <w:tcW w:type="dxa" w:w="624"/>
          </w:tcPr>
          <w:p>
            <w:r/>
            <w:r>
              <w:rPr>
                <w:sz w:val="16"/>
              </w:rPr>
              <w:t>+2</w:t>
            </w:r>
          </w:p>
        </w:tc>
        <w:tc>
          <w:tcPr>
            <w:tcW w:type="dxa" w:w="624"/>
          </w:tcPr>
          <w:p>
            <w:r/>
            <w:r>
              <w:rPr>
                <w:sz w:val="16"/>
              </w:rPr>
              <w:t>+3</w:t>
            </w:r>
          </w:p>
        </w:tc>
        <w:tc>
          <w:tcPr>
            <w:tcW w:type="dxa" w:w="1984"/>
          </w:tcPr>
          <w:p>
            <w:r/>
            <w:r>
              <w:rPr>
                <w:sz w:val="16"/>
              </w:rPr>
              <w:t>SURMOUNT-2¹¹</w:t>
            </w:r>
          </w:p>
        </w:tc>
      </w:tr>
      <w:tr>
        <w:tc>
          <w:tcPr>
            <w:tcW w:type="dxa" w:w="397"/>
            <w:shd w:val="clear" w:color="auto" w:fill="F2F6FB"/>
          </w:tcPr>
          <w:p>
            <w:r/>
            <w:r>
              <w:rPr>
                <w:b/>
                <w:sz w:val="16"/>
              </w:rPr>
              <w:t>8</w:t>
            </w:r>
          </w:p>
        </w:tc>
        <w:tc>
          <w:tcPr>
            <w:tcW w:type="dxa" w:w="2948"/>
            <w:shd w:val="clear" w:color="auto" w:fill="F2F6FB"/>
          </w:tcPr>
          <w:p>
            <w:r/>
            <w:r>
              <w:rPr>
                <w:sz w:val="16"/>
              </w:rPr>
              <w:t>Insulin-treated T2DM</w:t>
            </w:r>
          </w:p>
        </w:tc>
        <w:tc>
          <w:tcPr>
            <w:tcW w:type="dxa" w:w="567"/>
            <w:shd w:val="clear" w:color="auto" w:fill="F2F6FB"/>
          </w:tcPr>
          <w:p>
            <w:r/>
            <w:r>
              <w:rPr>
                <w:sz w:val="16"/>
              </w:rPr>
              <w:t>0.04</w:t>
            </w:r>
          </w:p>
        </w:tc>
        <w:tc>
          <w:tcPr>
            <w:tcW w:type="dxa" w:w="624"/>
            <w:shd w:val="clear" w:color="auto" w:fill="F2F6FB"/>
          </w:tcPr>
          <w:p>
            <w:r/>
            <w:r>
              <w:rPr>
                <w:sz w:val="16"/>
              </w:rPr>
              <w:t>0</w:t>
            </w:r>
          </w:p>
        </w:tc>
        <w:tc>
          <w:tcPr>
            <w:tcW w:type="dxa" w:w="624"/>
            <w:shd w:val="clear" w:color="auto" w:fill="F2F6FB"/>
          </w:tcPr>
          <w:p>
            <w:r/>
            <w:r>
              <w:rPr>
                <w:sz w:val="16"/>
              </w:rPr>
              <w:t>+1</w:t>
            </w:r>
          </w:p>
        </w:tc>
        <w:tc>
          <w:tcPr>
            <w:tcW w:type="dxa" w:w="624"/>
            <w:shd w:val="clear" w:color="auto" w:fill="F2F6FB"/>
          </w:tcPr>
          <w:p>
            <w:r/>
            <w:r>
              <w:rPr>
                <w:sz w:val="16"/>
              </w:rPr>
              <w:t>+2</w:t>
            </w:r>
          </w:p>
        </w:tc>
        <w:tc>
          <w:tcPr>
            <w:tcW w:type="dxa" w:w="624"/>
            <w:shd w:val="clear" w:color="auto" w:fill="F2F6FB"/>
          </w:tcPr>
          <w:p>
            <w:r/>
            <w:r>
              <w:rPr>
                <w:sz w:val="16"/>
              </w:rPr>
              <w:t>+3</w:t>
            </w:r>
          </w:p>
        </w:tc>
        <w:tc>
          <w:tcPr>
            <w:tcW w:type="dxa" w:w="624"/>
            <w:shd w:val="clear" w:color="auto" w:fill="F2F6FB"/>
          </w:tcPr>
          <w:p>
            <w:r/>
            <w:r>
              <w:rPr>
                <w:sz w:val="16"/>
              </w:rPr>
              <w:t>+1</w:t>
            </w:r>
          </w:p>
        </w:tc>
        <w:tc>
          <w:tcPr>
            <w:tcW w:type="dxa" w:w="624"/>
            <w:shd w:val="clear" w:color="auto" w:fill="F2F6FB"/>
          </w:tcPr>
          <w:p>
            <w:r/>
            <w:r>
              <w:rPr>
                <w:sz w:val="16"/>
              </w:rPr>
              <w:t>+3</w:t>
            </w:r>
          </w:p>
        </w:tc>
        <w:tc>
          <w:tcPr>
            <w:tcW w:type="dxa" w:w="1984"/>
            <w:shd w:val="clear" w:color="auto" w:fill="F2F6FB"/>
          </w:tcPr>
          <w:p>
            <w:r/>
            <w:r>
              <w:rPr>
                <w:sz w:val="16"/>
              </w:rPr>
              <w:t>STEP 2¹⁰</w:t>
            </w:r>
          </w:p>
        </w:tc>
      </w:tr>
      <w:tr>
        <w:tc>
          <w:tcPr>
            <w:tcW w:type="dxa" w:w="397"/>
          </w:tcPr>
          <w:p>
            <w:r/>
            <w:r>
              <w:rPr>
                <w:b/>
                <w:sz w:val="16"/>
              </w:rPr>
              <w:t>9</w:t>
            </w:r>
          </w:p>
        </w:tc>
        <w:tc>
          <w:tcPr>
            <w:tcW w:type="dxa" w:w="2948"/>
          </w:tcPr>
          <w:p>
            <w:r/>
            <w:r>
              <w:rPr>
                <w:sz w:val="16"/>
              </w:rPr>
              <w:t>MetS without T2DM</w:t>
            </w:r>
          </w:p>
        </w:tc>
        <w:tc>
          <w:tcPr>
            <w:tcW w:type="dxa" w:w="567"/>
          </w:tcPr>
          <w:p>
            <w:r/>
            <w:r>
              <w:rPr>
                <w:sz w:val="16"/>
              </w:rPr>
              <w:t>0.04</w:t>
            </w:r>
          </w:p>
        </w:tc>
        <w:tc>
          <w:tcPr>
            <w:tcW w:type="dxa" w:w="624"/>
          </w:tcPr>
          <w:p>
            <w:r/>
            <w:r>
              <w:rPr>
                <w:sz w:val="16"/>
              </w:rPr>
              <w:t>+1</w:t>
            </w:r>
          </w:p>
        </w:tc>
        <w:tc>
          <w:tcPr>
            <w:tcW w:type="dxa" w:w="624"/>
          </w:tcPr>
          <w:p>
            <w:r/>
            <w:r>
              <w:rPr>
                <w:sz w:val="16"/>
              </w:rPr>
              <w:t>+2</w:t>
            </w:r>
          </w:p>
        </w:tc>
        <w:tc>
          <w:tcPr>
            <w:tcW w:type="dxa" w:w="624"/>
          </w:tcPr>
          <w:p>
            <w:r/>
            <w:r>
              <w:rPr>
                <w:sz w:val="16"/>
              </w:rPr>
              <w:t>+2</w:t>
            </w:r>
          </w:p>
        </w:tc>
        <w:tc>
          <w:tcPr>
            <w:tcW w:type="dxa" w:w="624"/>
          </w:tcPr>
          <w:p>
            <w:r/>
            <w:r>
              <w:rPr>
                <w:sz w:val="16"/>
              </w:rPr>
              <w:t>+2</w:t>
            </w:r>
          </w:p>
        </w:tc>
        <w:tc>
          <w:tcPr>
            <w:tcW w:type="dxa" w:w="624"/>
          </w:tcPr>
          <w:p>
            <w:r/>
            <w:r>
              <w:rPr>
                <w:sz w:val="16"/>
              </w:rPr>
              <w:t>+3</w:t>
            </w:r>
          </w:p>
        </w:tc>
        <w:tc>
          <w:tcPr>
            <w:tcW w:type="dxa" w:w="624"/>
          </w:tcPr>
          <w:p>
            <w:r/>
            <w:r>
              <w:rPr>
                <w:sz w:val="16"/>
              </w:rPr>
              <w:t>+2</w:t>
            </w:r>
          </w:p>
        </w:tc>
        <w:tc>
          <w:tcPr>
            <w:tcW w:type="dxa" w:w="1984"/>
          </w:tcPr>
          <w:p>
            <w:r/>
            <w:r>
              <w:rPr>
                <w:sz w:val="16"/>
              </w:rPr>
              <w:t>STEP 1⁶</w:t>
            </w:r>
          </w:p>
        </w:tc>
      </w:tr>
      <w:tr>
        <w:tc>
          <w:tcPr>
            <w:tcW w:type="dxa" w:w="397"/>
            <w:shd w:val="clear" w:color="auto" w:fill="F2F6FB"/>
          </w:tcPr>
          <w:p>
            <w:r/>
            <w:r>
              <w:rPr>
                <w:b/>
                <w:sz w:val="16"/>
              </w:rPr>
              <w:t>10</w:t>
            </w:r>
          </w:p>
        </w:tc>
        <w:tc>
          <w:tcPr>
            <w:tcW w:type="dxa" w:w="2948"/>
            <w:shd w:val="clear" w:color="auto" w:fill="F2F6FB"/>
          </w:tcPr>
          <w:p>
            <w:r/>
            <w:r>
              <w:rPr>
                <w:sz w:val="16"/>
              </w:rPr>
              <w:t>NAFLD/MASH (FIB-4 ≥1.3)</w:t>
            </w:r>
          </w:p>
        </w:tc>
        <w:tc>
          <w:tcPr>
            <w:tcW w:type="dxa" w:w="567"/>
            <w:shd w:val="clear" w:color="auto" w:fill="F2F6FB"/>
          </w:tcPr>
          <w:p>
            <w:r/>
            <w:r>
              <w:rPr>
                <w:sz w:val="16"/>
              </w:rPr>
              <w:t>0.04</w:t>
            </w:r>
          </w:p>
        </w:tc>
        <w:tc>
          <w:tcPr>
            <w:tcW w:type="dxa" w:w="624"/>
            <w:shd w:val="clear" w:color="auto" w:fill="F2F6FB"/>
          </w:tcPr>
          <w:p>
            <w:r/>
            <w:r>
              <w:rPr>
                <w:sz w:val="16"/>
              </w:rPr>
              <w:t>0</w:t>
            </w:r>
          </w:p>
        </w:tc>
        <w:tc>
          <w:tcPr>
            <w:tcW w:type="dxa" w:w="624"/>
            <w:shd w:val="clear" w:color="auto" w:fill="F2F6FB"/>
          </w:tcPr>
          <w:p>
            <w:r/>
            <w:r>
              <w:rPr>
                <w:sz w:val="16"/>
              </w:rPr>
              <w:t>+1</w:t>
            </w:r>
          </w:p>
        </w:tc>
        <w:tc>
          <w:tcPr>
            <w:tcW w:type="dxa" w:w="624"/>
            <w:shd w:val="clear" w:color="auto" w:fill="F2F6FB"/>
          </w:tcPr>
          <w:p>
            <w:r/>
            <w:r>
              <w:rPr>
                <w:sz w:val="16"/>
              </w:rPr>
              <w:t>+2</w:t>
            </w:r>
          </w:p>
        </w:tc>
        <w:tc>
          <w:tcPr>
            <w:tcW w:type="dxa" w:w="624"/>
            <w:shd w:val="clear" w:color="auto" w:fill="F2F6FB"/>
          </w:tcPr>
          <w:p>
            <w:r/>
            <w:r>
              <w:rPr>
                <w:sz w:val="16"/>
              </w:rPr>
              <w:t>+3</w:t>
            </w:r>
          </w:p>
        </w:tc>
        <w:tc>
          <w:tcPr>
            <w:tcW w:type="dxa" w:w="624"/>
            <w:shd w:val="clear" w:color="auto" w:fill="F2F6FB"/>
          </w:tcPr>
          <w:p>
            <w:r/>
            <w:r>
              <w:rPr>
                <w:sz w:val="16"/>
              </w:rPr>
              <w:t>+2</w:t>
            </w:r>
          </w:p>
        </w:tc>
        <w:tc>
          <w:tcPr>
            <w:tcW w:type="dxa" w:w="624"/>
            <w:shd w:val="clear" w:color="auto" w:fill="F2F6FB"/>
          </w:tcPr>
          <w:p>
            <w:r/>
            <w:r>
              <w:rPr>
                <w:sz w:val="16"/>
              </w:rPr>
              <w:t>+3</w:t>
            </w:r>
          </w:p>
        </w:tc>
        <w:tc>
          <w:tcPr>
            <w:tcW w:type="dxa" w:w="1984"/>
            <w:shd w:val="clear" w:color="auto" w:fill="F2F6FB"/>
          </w:tcPr>
          <w:p>
            <w:r/>
            <w:r>
              <w:rPr>
                <w:sz w:val="16"/>
              </w:rPr>
              <w:t>Newsome¹⁸</w:t>
            </w:r>
          </w:p>
        </w:tc>
      </w:tr>
      <w:tr>
        <w:tc>
          <w:tcPr>
            <w:tcW w:type="dxa" w:w="397"/>
          </w:tcPr>
          <w:p>
            <w:r/>
            <w:r>
              <w:rPr>
                <w:b/>
                <w:sz w:val="16"/>
              </w:rPr>
              <w:t>11</w:t>
            </w:r>
          </w:p>
        </w:tc>
        <w:tc>
          <w:tcPr>
            <w:tcW w:type="dxa" w:w="2948"/>
          </w:tcPr>
          <w:p>
            <w:r/>
            <w:r>
              <w:rPr>
                <w:sz w:val="16"/>
              </w:rPr>
              <w:t>Established CVD</w:t>
            </w:r>
          </w:p>
        </w:tc>
        <w:tc>
          <w:tcPr>
            <w:tcW w:type="dxa" w:w="567"/>
          </w:tcPr>
          <w:p>
            <w:r/>
            <w:r>
              <w:rPr>
                <w:sz w:val="16"/>
              </w:rPr>
              <w:t>0.04</w:t>
            </w:r>
          </w:p>
        </w:tc>
        <w:tc>
          <w:tcPr>
            <w:tcW w:type="dxa" w:w="624"/>
          </w:tcPr>
          <w:p>
            <w:r/>
            <w:r>
              <w:rPr>
                <w:sz w:val="16"/>
              </w:rPr>
              <w:t>0</w:t>
            </w:r>
          </w:p>
        </w:tc>
        <w:tc>
          <w:tcPr>
            <w:tcW w:type="dxa" w:w="624"/>
          </w:tcPr>
          <w:p>
            <w:r/>
            <w:r>
              <w:rPr>
                <w:sz w:val="16"/>
              </w:rPr>
              <w:t>0</w:t>
            </w:r>
          </w:p>
        </w:tc>
        <w:tc>
          <w:tcPr>
            <w:tcW w:type="dxa" w:w="624"/>
          </w:tcPr>
          <w:p>
            <w:r/>
            <w:r>
              <w:rPr>
                <w:sz w:val="16"/>
              </w:rPr>
              <w:t>+2</w:t>
            </w:r>
          </w:p>
        </w:tc>
        <w:tc>
          <w:tcPr>
            <w:tcW w:type="dxa" w:w="624"/>
          </w:tcPr>
          <w:p>
            <w:r/>
            <w:r>
              <w:rPr>
                <w:sz w:val="16"/>
              </w:rPr>
              <w:t>+2</w:t>
            </w:r>
          </w:p>
        </w:tc>
        <w:tc>
          <w:tcPr>
            <w:tcW w:type="dxa" w:w="624"/>
          </w:tcPr>
          <w:p>
            <w:r/>
            <w:r>
              <w:rPr>
                <w:sz w:val="16"/>
              </w:rPr>
              <w:t>+3</w:t>
            </w:r>
          </w:p>
        </w:tc>
        <w:tc>
          <w:tcPr>
            <w:tcW w:type="dxa" w:w="624"/>
          </w:tcPr>
          <w:p>
            <w:r/>
            <w:r>
              <w:rPr>
                <w:sz w:val="16"/>
              </w:rPr>
              <w:t>+2</w:t>
            </w:r>
          </w:p>
        </w:tc>
        <w:tc>
          <w:tcPr>
            <w:tcW w:type="dxa" w:w="1984"/>
          </w:tcPr>
          <w:p>
            <w:r/>
            <w:r>
              <w:rPr>
                <w:sz w:val="16"/>
              </w:rPr>
              <w:t>Lincoff¹⁶</w:t>
            </w:r>
          </w:p>
        </w:tc>
      </w:tr>
      <w:tr>
        <w:tc>
          <w:tcPr>
            <w:tcW w:type="dxa" w:w="397"/>
            <w:shd w:val="clear" w:color="auto" w:fill="F2F6FB"/>
          </w:tcPr>
          <w:p>
            <w:r/>
            <w:r>
              <w:rPr>
                <w:b/>
                <w:sz w:val="16"/>
              </w:rPr>
              <w:t>12</w:t>
            </w:r>
          </w:p>
        </w:tc>
        <w:tc>
          <w:tcPr>
            <w:tcW w:type="dxa" w:w="2948"/>
            <w:shd w:val="clear" w:color="auto" w:fill="F2F6FB"/>
          </w:tcPr>
          <w:p>
            <w:r/>
            <w:r>
              <w:rPr>
                <w:sz w:val="16"/>
              </w:rPr>
              <w:t>CKD stage 3–4</w:t>
            </w:r>
          </w:p>
        </w:tc>
        <w:tc>
          <w:tcPr>
            <w:tcW w:type="dxa" w:w="567"/>
            <w:shd w:val="clear" w:color="auto" w:fill="F2F6FB"/>
          </w:tcPr>
          <w:p>
            <w:r/>
            <w:r>
              <w:rPr>
                <w:sz w:val="16"/>
              </w:rPr>
              <w:t>0.03</w:t>
            </w:r>
          </w:p>
        </w:tc>
        <w:tc>
          <w:tcPr>
            <w:tcW w:type="dxa" w:w="624"/>
            <w:shd w:val="clear" w:color="auto" w:fill="F2F6FB"/>
          </w:tcPr>
          <w:p>
            <w:r/>
            <w:r>
              <w:rPr>
                <w:sz w:val="16"/>
              </w:rPr>
              <w:t>0</w:t>
            </w:r>
          </w:p>
        </w:tc>
        <w:tc>
          <w:tcPr>
            <w:tcW w:type="dxa" w:w="624"/>
            <w:shd w:val="clear" w:color="auto" w:fill="F2F6FB"/>
          </w:tcPr>
          <w:p>
            <w:r/>
            <w:r>
              <w:rPr>
                <w:sz w:val="16"/>
              </w:rPr>
              <w:t>0</w:t>
            </w:r>
          </w:p>
        </w:tc>
        <w:tc>
          <w:tcPr>
            <w:tcW w:type="dxa" w:w="624"/>
            <w:shd w:val="clear" w:color="auto" w:fill="F2F6FB"/>
          </w:tcPr>
          <w:p>
            <w:r/>
            <w:r>
              <w:rPr>
                <w:sz w:val="16"/>
              </w:rPr>
              <w:t>+1</w:t>
            </w:r>
          </w:p>
        </w:tc>
        <w:tc>
          <w:tcPr>
            <w:tcW w:type="dxa" w:w="624"/>
            <w:shd w:val="clear" w:color="auto" w:fill="F2F6FB"/>
          </w:tcPr>
          <w:p>
            <w:r/>
            <w:r>
              <w:rPr>
                <w:sz w:val="16"/>
              </w:rPr>
              <w:t>+1</w:t>
            </w:r>
          </w:p>
        </w:tc>
        <w:tc>
          <w:tcPr>
            <w:tcW w:type="dxa" w:w="624"/>
            <w:shd w:val="clear" w:color="auto" w:fill="F2F6FB"/>
          </w:tcPr>
          <w:p>
            <w:r/>
            <w:r>
              <w:rPr>
                <w:sz w:val="16"/>
              </w:rPr>
              <w:t>+3</w:t>
            </w:r>
          </w:p>
        </w:tc>
        <w:tc>
          <w:tcPr>
            <w:tcW w:type="dxa" w:w="624"/>
            <w:shd w:val="clear" w:color="auto" w:fill="F2F6FB"/>
          </w:tcPr>
          <w:p>
            <w:r/>
            <w:r>
              <w:rPr>
                <w:sz w:val="16"/>
              </w:rPr>
              <w:t>+1</w:t>
            </w:r>
          </w:p>
        </w:tc>
        <w:tc>
          <w:tcPr>
            <w:tcW w:type="dxa" w:w="1984"/>
            <w:shd w:val="clear" w:color="auto" w:fill="F2F6FB"/>
          </w:tcPr>
          <w:p>
            <w:r/>
            <w:r>
              <w:rPr>
                <w:sz w:val="16"/>
              </w:rPr>
              <w:t>Perkovic¹⁷</w:t>
            </w:r>
          </w:p>
        </w:tc>
      </w:tr>
      <w:tr>
        <w:tc>
          <w:tcPr>
            <w:tcW w:type="dxa" w:w="397"/>
          </w:tcPr>
          <w:p>
            <w:r/>
            <w:r>
              <w:rPr>
                <w:b/>
                <w:sz w:val="16"/>
              </w:rPr>
              <w:t>13</w:t>
            </w:r>
          </w:p>
        </w:tc>
        <w:tc>
          <w:tcPr>
            <w:tcW w:type="dxa" w:w="2948"/>
          </w:tcPr>
          <w:p>
            <w:r/>
            <w:r>
              <w:rPr>
                <w:sz w:val="16"/>
              </w:rPr>
              <w:t>Severe binge eating (BES ≥27)</w:t>
            </w:r>
          </w:p>
        </w:tc>
        <w:tc>
          <w:tcPr>
            <w:tcW w:type="dxa" w:w="567"/>
          </w:tcPr>
          <w:p>
            <w:r/>
            <w:r>
              <w:rPr>
                <w:sz w:val="16"/>
              </w:rPr>
              <w:t>0.04</w:t>
            </w:r>
          </w:p>
        </w:tc>
        <w:tc>
          <w:tcPr>
            <w:tcW w:type="dxa" w:w="624"/>
          </w:tcPr>
          <w:p>
            <w:r/>
            <w:r>
              <w:rPr>
                <w:sz w:val="16"/>
              </w:rPr>
              <w:t>−1</w:t>
            </w:r>
          </w:p>
        </w:tc>
        <w:tc>
          <w:tcPr>
            <w:tcW w:type="dxa" w:w="624"/>
          </w:tcPr>
          <w:p>
            <w:r/>
            <w:r>
              <w:rPr>
                <w:sz w:val="16"/>
              </w:rPr>
              <w:t>0</w:t>
            </w:r>
          </w:p>
        </w:tc>
        <w:tc>
          <w:tcPr>
            <w:tcW w:type="dxa" w:w="624"/>
          </w:tcPr>
          <w:p>
            <w:r/>
            <w:r>
              <w:rPr>
                <w:sz w:val="16"/>
              </w:rPr>
              <w:t>−1</w:t>
            </w:r>
          </w:p>
        </w:tc>
        <w:tc>
          <w:tcPr>
            <w:tcW w:type="dxa" w:w="624"/>
          </w:tcPr>
          <w:p>
            <w:r/>
            <w:r>
              <w:rPr>
                <w:sz w:val="16"/>
              </w:rPr>
              <w:t>−1</w:t>
            </w:r>
          </w:p>
        </w:tc>
        <w:tc>
          <w:tcPr>
            <w:tcW w:type="dxa" w:w="624"/>
          </w:tcPr>
          <w:p>
            <w:r/>
            <w:r>
              <w:rPr>
                <w:sz w:val="16"/>
              </w:rPr>
              <w:t>+2</w:t>
            </w:r>
          </w:p>
        </w:tc>
        <w:tc>
          <w:tcPr>
            <w:tcW w:type="dxa" w:w="624"/>
          </w:tcPr>
          <w:p>
            <w:r/>
            <w:r>
              <w:rPr>
                <w:sz w:val="16"/>
              </w:rPr>
              <w:t>+1</w:t>
            </w:r>
          </w:p>
        </w:tc>
        <w:tc>
          <w:tcPr>
            <w:tcW w:type="dxa" w:w="1984"/>
          </w:tcPr>
          <w:p>
            <w:r/>
            <w:r>
              <w:rPr>
                <w:sz w:val="16"/>
              </w:rPr>
              <w:t>Gormally⁴⁶</w:t>
            </w:r>
          </w:p>
        </w:tc>
      </w:tr>
      <w:tr>
        <w:tc>
          <w:tcPr>
            <w:tcW w:type="dxa" w:w="397"/>
            <w:shd w:val="clear" w:color="auto" w:fill="F2F6FB"/>
          </w:tcPr>
          <w:p>
            <w:r/>
            <w:r>
              <w:rPr>
                <w:b/>
                <w:sz w:val="16"/>
              </w:rPr>
              <w:t>14</w:t>
            </w:r>
          </w:p>
        </w:tc>
        <w:tc>
          <w:tcPr>
            <w:tcW w:type="dxa" w:w="2948"/>
            <w:shd w:val="clear" w:color="auto" w:fill="F2F6FB"/>
          </w:tcPr>
          <w:p>
            <w:r/>
            <w:r>
              <w:rPr>
                <w:sz w:val="16"/>
              </w:rPr>
              <w:t>Major depression (active)</w:t>
            </w:r>
          </w:p>
        </w:tc>
        <w:tc>
          <w:tcPr>
            <w:tcW w:type="dxa" w:w="567"/>
            <w:shd w:val="clear" w:color="auto" w:fill="F2F6FB"/>
          </w:tcPr>
          <w:p>
            <w:r/>
            <w:r>
              <w:rPr>
                <w:sz w:val="16"/>
              </w:rPr>
              <w:t>0.03</w:t>
            </w:r>
          </w:p>
        </w:tc>
        <w:tc>
          <w:tcPr>
            <w:tcW w:type="dxa" w:w="624"/>
            <w:shd w:val="clear" w:color="auto" w:fill="F2F6FB"/>
          </w:tcPr>
          <w:p>
            <w:r/>
            <w:r>
              <w:rPr>
                <w:sz w:val="16"/>
              </w:rPr>
              <w:t>−1</w:t>
            </w:r>
          </w:p>
        </w:tc>
        <w:tc>
          <w:tcPr>
            <w:tcW w:type="dxa" w:w="624"/>
            <w:shd w:val="clear" w:color="auto" w:fill="F2F6FB"/>
          </w:tcPr>
          <w:p>
            <w:r/>
            <w:r>
              <w:rPr>
                <w:sz w:val="16"/>
              </w:rPr>
              <w:t>0</w:t>
            </w:r>
          </w:p>
        </w:tc>
        <w:tc>
          <w:tcPr>
            <w:tcW w:type="dxa" w:w="624"/>
            <w:shd w:val="clear" w:color="auto" w:fill="F2F6FB"/>
          </w:tcPr>
          <w:p>
            <w:r/>
            <w:r>
              <w:rPr>
                <w:sz w:val="16"/>
              </w:rPr>
              <w:t>−1</w:t>
            </w:r>
          </w:p>
        </w:tc>
        <w:tc>
          <w:tcPr>
            <w:tcW w:type="dxa" w:w="624"/>
            <w:shd w:val="clear" w:color="auto" w:fill="F2F6FB"/>
          </w:tcPr>
          <w:p>
            <w:r/>
            <w:r>
              <w:rPr>
                <w:sz w:val="16"/>
              </w:rPr>
              <w:t>−2</w:t>
            </w:r>
          </w:p>
        </w:tc>
        <w:tc>
          <w:tcPr>
            <w:tcW w:type="dxa" w:w="624"/>
            <w:shd w:val="clear" w:color="auto" w:fill="F2F6FB"/>
          </w:tcPr>
          <w:p>
            <w:r/>
            <w:r>
              <w:rPr>
                <w:sz w:val="16"/>
              </w:rPr>
              <w:t>+1</w:t>
            </w:r>
          </w:p>
        </w:tc>
        <w:tc>
          <w:tcPr>
            <w:tcW w:type="dxa" w:w="624"/>
            <w:shd w:val="clear" w:color="auto" w:fill="F2F6FB"/>
          </w:tcPr>
          <w:p>
            <w:r/>
            <w:r>
              <w:rPr>
                <w:sz w:val="16"/>
              </w:rPr>
              <w:t>0</w:t>
            </w:r>
          </w:p>
        </w:tc>
        <w:tc>
          <w:tcPr>
            <w:tcW w:type="dxa" w:w="1984"/>
            <w:shd w:val="clear" w:color="auto" w:fill="F2F6FB"/>
          </w:tcPr>
          <w:p>
            <w:r/>
            <w:r>
              <w:rPr>
                <w:sz w:val="16"/>
              </w:rPr>
              <w:t>Cohen⁴⁴</w:t>
            </w:r>
          </w:p>
        </w:tc>
      </w:tr>
      <w:tr>
        <w:tc>
          <w:tcPr>
            <w:tcW w:type="dxa" w:w="397"/>
          </w:tcPr>
          <w:p>
            <w:r/>
            <w:r>
              <w:rPr>
                <w:b/>
                <w:sz w:val="16"/>
              </w:rPr>
              <w:t>15</w:t>
            </w:r>
          </w:p>
        </w:tc>
        <w:tc>
          <w:tcPr>
            <w:tcW w:type="dxa" w:w="2948"/>
          </w:tcPr>
          <w:p>
            <w:r/>
            <w:r>
              <w:rPr>
                <w:sz w:val="16"/>
              </w:rPr>
              <w:t>Severe insomnia (ISI ≥22)</w:t>
            </w:r>
          </w:p>
        </w:tc>
        <w:tc>
          <w:tcPr>
            <w:tcW w:type="dxa" w:w="567"/>
          </w:tcPr>
          <w:p>
            <w:r/>
            <w:r>
              <w:rPr>
                <w:sz w:val="16"/>
              </w:rPr>
              <w:t>0.02</w:t>
            </w:r>
          </w:p>
        </w:tc>
        <w:tc>
          <w:tcPr>
            <w:tcW w:type="dxa" w:w="624"/>
          </w:tcPr>
          <w:p>
            <w:r/>
            <w:r>
              <w:rPr>
                <w:sz w:val="16"/>
              </w:rPr>
              <w:t>0</w:t>
            </w:r>
          </w:p>
        </w:tc>
        <w:tc>
          <w:tcPr>
            <w:tcW w:type="dxa" w:w="624"/>
          </w:tcPr>
          <w:p>
            <w:r/>
            <w:r>
              <w:rPr>
                <w:sz w:val="16"/>
              </w:rPr>
              <w:t>0</w:t>
            </w:r>
          </w:p>
        </w:tc>
        <w:tc>
          <w:tcPr>
            <w:tcW w:type="dxa" w:w="624"/>
          </w:tcPr>
          <w:p>
            <w:r/>
            <w:r>
              <w:rPr>
                <w:sz w:val="16"/>
              </w:rPr>
              <w:t>0</w:t>
            </w:r>
          </w:p>
        </w:tc>
        <w:tc>
          <w:tcPr>
            <w:tcW w:type="dxa" w:w="624"/>
          </w:tcPr>
          <w:p>
            <w:r/>
            <w:r>
              <w:rPr>
                <w:sz w:val="16"/>
              </w:rPr>
              <w:t>0</w:t>
            </w:r>
          </w:p>
        </w:tc>
        <w:tc>
          <w:tcPr>
            <w:tcW w:type="dxa" w:w="624"/>
          </w:tcPr>
          <w:p>
            <w:r/>
            <w:r>
              <w:rPr>
                <w:sz w:val="16"/>
              </w:rPr>
              <w:t>+1</w:t>
            </w:r>
          </w:p>
        </w:tc>
        <w:tc>
          <w:tcPr>
            <w:tcW w:type="dxa" w:w="624"/>
          </w:tcPr>
          <w:p>
            <w:r/>
            <w:r>
              <w:rPr>
                <w:sz w:val="16"/>
              </w:rPr>
              <w:t>+1</w:t>
            </w:r>
          </w:p>
        </w:tc>
        <w:tc>
          <w:tcPr>
            <w:tcW w:type="dxa" w:w="1984"/>
          </w:tcPr>
          <w:p>
            <w:r/>
            <w:r>
              <w:rPr>
                <w:sz w:val="16"/>
              </w:rPr>
              <w:t>Bastien⁴⁵</w:t>
            </w:r>
          </w:p>
        </w:tc>
      </w:tr>
      <w:tr>
        <w:tc>
          <w:tcPr>
            <w:tcW w:type="dxa" w:w="397"/>
            <w:shd w:val="clear" w:color="auto" w:fill="F2F6FB"/>
          </w:tcPr>
          <w:p>
            <w:r/>
            <w:r>
              <w:rPr>
                <w:b/>
                <w:sz w:val="16"/>
              </w:rPr>
              <w:t>16</w:t>
            </w:r>
          </w:p>
        </w:tc>
        <w:tc>
          <w:tcPr>
            <w:tcW w:type="dxa" w:w="2948"/>
            <w:shd w:val="clear" w:color="auto" w:fill="F2F6FB"/>
          </w:tcPr>
          <w:p>
            <w:r/>
            <w:r>
              <w:rPr>
                <w:sz w:val="16"/>
              </w:rPr>
              <w:t>High PSS-10 (≥27)</w:t>
            </w:r>
          </w:p>
        </w:tc>
        <w:tc>
          <w:tcPr>
            <w:tcW w:type="dxa" w:w="567"/>
            <w:shd w:val="clear" w:color="auto" w:fill="F2F6FB"/>
          </w:tcPr>
          <w:p>
            <w:r/>
            <w:r>
              <w:rPr>
                <w:sz w:val="16"/>
              </w:rPr>
              <w:t>0.02</w:t>
            </w:r>
          </w:p>
        </w:tc>
        <w:tc>
          <w:tcPr>
            <w:tcW w:type="dxa" w:w="624"/>
            <w:shd w:val="clear" w:color="auto" w:fill="F2F6FB"/>
          </w:tcPr>
          <w:p>
            <w:r/>
            <w:r>
              <w:rPr>
                <w:sz w:val="16"/>
              </w:rPr>
              <w:t>0</w:t>
            </w:r>
          </w:p>
        </w:tc>
        <w:tc>
          <w:tcPr>
            <w:tcW w:type="dxa" w:w="624"/>
            <w:shd w:val="clear" w:color="auto" w:fill="F2F6FB"/>
          </w:tcPr>
          <w:p>
            <w:r/>
            <w:r>
              <w:rPr>
                <w:sz w:val="16"/>
              </w:rPr>
              <w:t>+1</w:t>
            </w:r>
          </w:p>
        </w:tc>
        <w:tc>
          <w:tcPr>
            <w:tcW w:type="dxa" w:w="624"/>
            <w:shd w:val="clear" w:color="auto" w:fill="F2F6FB"/>
          </w:tcPr>
          <w:p>
            <w:r/>
            <w:r>
              <w:rPr>
                <w:sz w:val="16"/>
              </w:rPr>
              <w:t>0</w:t>
            </w:r>
          </w:p>
        </w:tc>
        <w:tc>
          <w:tcPr>
            <w:tcW w:type="dxa" w:w="624"/>
            <w:shd w:val="clear" w:color="auto" w:fill="F2F6FB"/>
          </w:tcPr>
          <w:p>
            <w:r/>
            <w:r>
              <w:rPr>
                <w:sz w:val="16"/>
              </w:rPr>
              <w:t>−1</w:t>
            </w:r>
          </w:p>
        </w:tc>
        <w:tc>
          <w:tcPr>
            <w:tcW w:type="dxa" w:w="624"/>
            <w:shd w:val="clear" w:color="auto" w:fill="F2F6FB"/>
          </w:tcPr>
          <w:p>
            <w:r/>
            <w:r>
              <w:rPr>
                <w:sz w:val="16"/>
              </w:rPr>
              <w:t>+1</w:t>
            </w:r>
          </w:p>
        </w:tc>
        <w:tc>
          <w:tcPr>
            <w:tcW w:type="dxa" w:w="624"/>
            <w:shd w:val="clear" w:color="auto" w:fill="F2F6FB"/>
          </w:tcPr>
          <w:p>
            <w:r/>
            <w:r>
              <w:rPr>
                <w:sz w:val="16"/>
              </w:rPr>
              <w:t>+1</w:t>
            </w:r>
          </w:p>
        </w:tc>
        <w:tc>
          <w:tcPr>
            <w:tcW w:type="dxa" w:w="1984"/>
            <w:shd w:val="clear" w:color="auto" w:fill="F2F6FB"/>
          </w:tcPr>
          <w:p>
            <w:r/>
            <w:r>
              <w:rPr>
                <w:sz w:val="16"/>
              </w:rPr>
              <w:t>Cohen⁴⁴</w:t>
            </w:r>
          </w:p>
        </w:tc>
      </w:tr>
      <w:tr>
        <w:tc>
          <w:tcPr>
            <w:tcW w:type="dxa" w:w="397"/>
          </w:tcPr>
          <w:p>
            <w:r/>
            <w:r>
              <w:rPr>
                <w:b/>
                <w:sz w:val="16"/>
              </w:rPr>
              <w:t>17</w:t>
            </w:r>
          </w:p>
        </w:tc>
        <w:tc>
          <w:tcPr>
            <w:tcW w:type="dxa" w:w="2948"/>
          </w:tcPr>
          <w:p>
            <w:r/>
            <w:r>
              <w:rPr>
                <w:sz w:val="16"/>
              </w:rPr>
              <w:t>Sub-optimal adherence history</w:t>
            </w:r>
          </w:p>
        </w:tc>
        <w:tc>
          <w:tcPr>
            <w:tcW w:type="dxa" w:w="567"/>
          </w:tcPr>
          <w:p>
            <w:r/>
            <w:r>
              <w:rPr>
                <w:sz w:val="16"/>
              </w:rPr>
              <w:t>0.04</w:t>
            </w:r>
          </w:p>
        </w:tc>
        <w:tc>
          <w:tcPr>
            <w:tcW w:type="dxa" w:w="624"/>
          </w:tcPr>
          <w:p>
            <w:r/>
            <w:r>
              <w:rPr>
                <w:sz w:val="16"/>
              </w:rPr>
              <w:t>−1</w:t>
            </w:r>
          </w:p>
        </w:tc>
        <w:tc>
          <w:tcPr>
            <w:tcW w:type="dxa" w:w="624"/>
          </w:tcPr>
          <w:p>
            <w:r/>
            <w:r>
              <w:rPr>
                <w:sz w:val="16"/>
              </w:rPr>
              <w:t>+1</w:t>
            </w:r>
          </w:p>
        </w:tc>
        <w:tc>
          <w:tcPr>
            <w:tcW w:type="dxa" w:w="624"/>
          </w:tcPr>
          <w:p>
            <w:r/>
            <w:r>
              <w:rPr>
                <w:sz w:val="16"/>
              </w:rPr>
              <w:t>+1</w:t>
            </w:r>
          </w:p>
        </w:tc>
        <w:tc>
          <w:tcPr>
            <w:tcW w:type="dxa" w:w="624"/>
          </w:tcPr>
          <w:p>
            <w:r/>
            <w:r>
              <w:rPr>
                <w:sz w:val="16"/>
              </w:rPr>
              <w:t>+2</w:t>
            </w:r>
          </w:p>
        </w:tc>
        <w:tc>
          <w:tcPr>
            <w:tcW w:type="dxa" w:w="624"/>
          </w:tcPr>
          <w:p>
            <w:r/>
            <w:r>
              <w:rPr>
                <w:sz w:val="16"/>
              </w:rPr>
              <w:t>−1</w:t>
            </w:r>
          </w:p>
        </w:tc>
        <w:tc>
          <w:tcPr>
            <w:tcW w:type="dxa" w:w="624"/>
          </w:tcPr>
          <w:p>
            <w:r/>
            <w:r>
              <w:rPr>
                <w:sz w:val="16"/>
              </w:rPr>
              <w:t>+1</w:t>
            </w:r>
          </w:p>
        </w:tc>
        <w:tc>
          <w:tcPr>
            <w:tcW w:type="dxa" w:w="1984"/>
          </w:tcPr>
          <w:p>
            <w:r/>
            <w:r>
              <w:rPr>
                <w:sz w:val="16"/>
              </w:rPr>
              <w:t>Wadden²⁰</w:t>
            </w:r>
          </w:p>
        </w:tc>
      </w:tr>
      <w:tr>
        <w:tc>
          <w:tcPr>
            <w:tcW w:type="dxa" w:w="397"/>
            <w:shd w:val="clear" w:color="auto" w:fill="F2F6FB"/>
          </w:tcPr>
          <w:p>
            <w:r/>
            <w:r>
              <w:rPr>
                <w:b/>
                <w:sz w:val="16"/>
              </w:rPr>
              <w:t>18</w:t>
            </w:r>
          </w:p>
        </w:tc>
        <w:tc>
          <w:tcPr>
            <w:tcW w:type="dxa" w:w="2948"/>
            <w:shd w:val="clear" w:color="auto" w:fill="F2F6FB"/>
          </w:tcPr>
          <w:p>
            <w:r/>
            <w:r>
              <w:rPr>
                <w:sz w:val="16"/>
              </w:rPr>
              <w:t>GRS profile R1-Excellent</w:t>
            </w:r>
          </w:p>
        </w:tc>
        <w:tc>
          <w:tcPr>
            <w:tcW w:type="dxa" w:w="567"/>
            <w:shd w:val="clear" w:color="auto" w:fill="F2F6FB"/>
          </w:tcPr>
          <w:p>
            <w:r/>
            <w:r>
              <w:rPr>
                <w:sz w:val="16"/>
              </w:rPr>
              <w:t>0.06</w:t>
            </w:r>
          </w:p>
        </w:tc>
        <w:tc>
          <w:tcPr>
            <w:tcW w:type="dxa" w:w="624"/>
            <w:shd w:val="clear" w:color="auto" w:fill="F2F6FB"/>
          </w:tcPr>
          <w:p>
            <w:r/>
            <w:r>
              <w:rPr>
                <w:sz w:val="16"/>
              </w:rPr>
              <w:t>0</w:t>
            </w:r>
          </w:p>
        </w:tc>
        <w:tc>
          <w:tcPr>
            <w:tcW w:type="dxa" w:w="624"/>
            <w:shd w:val="clear" w:color="auto" w:fill="F2F6FB"/>
          </w:tcPr>
          <w:p>
            <w:r/>
            <w:r>
              <w:rPr>
                <w:sz w:val="16"/>
              </w:rPr>
              <w:t>+1</w:t>
            </w:r>
          </w:p>
        </w:tc>
        <w:tc>
          <w:tcPr>
            <w:tcW w:type="dxa" w:w="624"/>
            <w:shd w:val="clear" w:color="auto" w:fill="F2F6FB"/>
          </w:tcPr>
          <w:p>
            <w:r/>
            <w:r>
              <w:rPr>
                <w:sz w:val="16"/>
              </w:rPr>
              <w:t>−1</w:t>
            </w:r>
          </w:p>
        </w:tc>
        <w:tc>
          <w:tcPr>
            <w:tcW w:type="dxa" w:w="624"/>
            <w:shd w:val="clear" w:color="auto" w:fill="F2F6FB"/>
          </w:tcPr>
          <w:p>
            <w:r/>
            <w:r>
              <w:rPr>
                <w:sz w:val="16"/>
              </w:rPr>
              <w:t>−2</w:t>
            </w:r>
          </w:p>
        </w:tc>
        <w:tc>
          <w:tcPr>
            <w:tcW w:type="dxa" w:w="624"/>
            <w:shd w:val="clear" w:color="auto" w:fill="F2F6FB"/>
          </w:tcPr>
          <w:p>
            <w:r/>
            <w:r>
              <w:rPr>
                <w:sz w:val="16"/>
              </w:rPr>
              <w:t>+3</w:t>
            </w:r>
          </w:p>
        </w:tc>
        <w:tc>
          <w:tcPr>
            <w:tcW w:type="dxa" w:w="624"/>
            <w:shd w:val="clear" w:color="auto" w:fill="F2F6FB"/>
          </w:tcPr>
          <w:p>
            <w:r/>
            <w:r>
              <w:rPr>
                <w:sz w:val="16"/>
              </w:rPr>
              <w:t>+1</w:t>
            </w:r>
          </w:p>
        </w:tc>
        <w:tc>
          <w:tcPr>
            <w:tcW w:type="dxa" w:w="1984"/>
            <w:shd w:val="clear" w:color="auto" w:fill="F2F6FB"/>
          </w:tcPr>
          <w:p>
            <w:r/>
            <w:r>
              <w:rPr>
                <w:sz w:val="16"/>
              </w:rPr>
              <w:t>Internal</w:t>
            </w:r>
          </w:p>
        </w:tc>
      </w:tr>
      <w:tr>
        <w:tc>
          <w:tcPr>
            <w:tcW w:type="dxa" w:w="397"/>
          </w:tcPr>
          <w:p>
            <w:r/>
            <w:r>
              <w:rPr>
                <w:b/>
                <w:sz w:val="16"/>
              </w:rPr>
              <w:t>19</w:t>
            </w:r>
          </w:p>
        </w:tc>
        <w:tc>
          <w:tcPr>
            <w:tcW w:type="dxa" w:w="2948"/>
          </w:tcPr>
          <w:p>
            <w:r/>
            <w:r>
              <w:rPr>
                <w:sz w:val="16"/>
              </w:rPr>
              <w:t>GRS profile R2-Good</w:t>
            </w:r>
          </w:p>
        </w:tc>
        <w:tc>
          <w:tcPr>
            <w:tcW w:type="dxa" w:w="567"/>
          </w:tcPr>
          <w:p>
            <w:r/>
            <w:r>
              <w:rPr>
                <w:sz w:val="16"/>
              </w:rPr>
              <w:t>0.05</w:t>
            </w:r>
          </w:p>
        </w:tc>
        <w:tc>
          <w:tcPr>
            <w:tcW w:type="dxa" w:w="624"/>
          </w:tcPr>
          <w:p>
            <w:r/>
            <w:r>
              <w:rPr>
                <w:sz w:val="16"/>
              </w:rPr>
              <w:t>0</w:t>
            </w:r>
          </w:p>
        </w:tc>
        <w:tc>
          <w:tcPr>
            <w:tcW w:type="dxa" w:w="624"/>
          </w:tcPr>
          <w:p>
            <w:r/>
            <w:r>
              <w:rPr>
                <w:sz w:val="16"/>
              </w:rPr>
              <w:t>+2</w:t>
            </w:r>
          </w:p>
        </w:tc>
        <w:tc>
          <w:tcPr>
            <w:tcW w:type="dxa" w:w="624"/>
          </w:tcPr>
          <w:p>
            <w:r/>
            <w:r>
              <w:rPr>
                <w:sz w:val="16"/>
              </w:rPr>
              <w:t>0</w:t>
            </w:r>
          </w:p>
        </w:tc>
        <w:tc>
          <w:tcPr>
            <w:tcW w:type="dxa" w:w="624"/>
          </w:tcPr>
          <w:p>
            <w:r/>
            <w:r>
              <w:rPr>
                <w:sz w:val="16"/>
              </w:rPr>
              <w:t>−1</w:t>
            </w:r>
          </w:p>
        </w:tc>
        <w:tc>
          <w:tcPr>
            <w:tcW w:type="dxa" w:w="624"/>
          </w:tcPr>
          <w:p>
            <w:r/>
            <w:r>
              <w:rPr>
                <w:sz w:val="16"/>
              </w:rPr>
              <w:t>+3</w:t>
            </w:r>
          </w:p>
        </w:tc>
        <w:tc>
          <w:tcPr>
            <w:tcW w:type="dxa" w:w="624"/>
          </w:tcPr>
          <w:p>
            <w:r/>
            <w:r>
              <w:rPr>
                <w:sz w:val="16"/>
              </w:rPr>
              <w:t>+2</w:t>
            </w:r>
          </w:p>
        </w:tc>
        <w:tc>
          <w:tcPr>
            <w:tcW w:type="dxa" w:w="1984"/>
          </w:tcPr>
          <w:p>
            <w:r/>
            <w:r>
              <w:rPr>
                <w:sz w:val="16"/>
              </w:rPr>
              <w:t>Internal</w:t>
            </w:r>
          </w:p>
        </w:tc>
      </w:tr>
      <w:tr>
        <w:tc>
          <w:tcPr>
            <w:tcW w:type="dxa" w:w="397"/>
            <w:shd w:val="clear" w:color="auto" w:fill="F2F6FB"/>
          </w:tcPr>
          <w:p>
            <w:r/>
            <w:r>
              <w:rPr>
                <w:b/>
                <w:sz w:val="16"/>
              </w:rPr>
              <w:t>20</w:t>
            </w:r>
          </w:p>
        </w:tc>
        <w:tc>
          <w:tcPr>
            <w:tcW w:type="dxa" w:w="2948"/>
            <w:shd w:val="clear" w:color="auto" w:fill="F2F6FB"/>
          </w:tcPr>
          <w:p>
            <w:r/>
            <w:r>
              <w:rPr>
                <w:sz w:val="16"/>
              </w:rPr>
              <w:t>GRS profile R3-Partial</w:t>
            </w:r>
          </w:p>
        </w:tc>
        <w:tc>
          <w:tcPr>
            <w:tcW w:type="dxa" w:w="567"/>
            <w:shd w:val="clear" w:color="auto" w:fill="F2F6FB"/>
          </w:tcPr>
          <w:p>
            <w:r/>
            <w:r>
              <w:rPr>
                <w:sz w:val="16"/>
              </w:rPr>
              <w:t>0.04</w:t>
            </w:r>
          </w:p>
        </w:tc>
        <w:tc>
          <w:tcPr>
            <w:tcW w:type="dxa" w:w="624"/>
            <w:shd w:val="clear" w:color="auto" w:fill="F2F6FB"/>
          </w:tcPr>
          <w:p>
            <w:r/>
            <w:r>
              <w:rPr>
                <w:sz w:val="16"/>
              </w:rPr>
              <w:t>+1</w:t>
            </w:r>
          </w:p>
        </w:tc>
        <w:tc>
          <w:tcPr>
            <w:tcW w:type="dxa" w:w="624"/>
            <w:shd w:val="clear" w:color="auto" w:fill="F2F6FB"/>
          </w:tcPr>
          <w:p>
            <w:r/>
            <w:r>
              <w:rPr>
                <w:sz w:val="16"/>
              </w:rPr>
              <w:t>+2</w:t>
            </w:r>
          </w:p>
        </w:tc>
        <w:tc>
          <w:tcPr>
            <w:tcW w:type="dxa" w:w="624"/>
            <w:shd w:val="clear" w:color="auto" w:fill="F2F6FB"/>
          </w:tcPr>
          <w:p>
            <w:r/>
            <w:r>
              <w:rPr>
                <w:sz w:val="16"/>
              </w:rPr>
              <w:t>+1</w:t>
            </w:r>
          </w:p>
        </w:tc>
        <w:tc>
          <w:tcPr>
            <w:tcW w:type="dxa" w:w="624"/>
            <w:shd w:val="clear" w:color="auto" w:fill="F2F6FB"/>
          </w:tcPr>
          <w:p>
            <w:r/>
            <w:r>
              <w:rPr>
                <w:sz w:val="16"/>
              </w:rPr>
              <w:t>0</w:t>
            </w:r>
          </w:p>
        </w:tc>
        <w:tc>
          <w:tcPr>
            <w:tcW w:type="dxa" w:w="624"/>
            <w:shd w:val="clear" w:color="auto" w:fill="F2F6FB"/>
          </w:tcPr>
          <w:p>
            <w:r/>
            <w:r>
              <w:rPr>
                <w:sz w:val="16"/>
              </w:rPr>
              <w:t>+1</w:t>
            </w:r>
          </w:p>
        </w:tc>
        <w:tc>
          <w:tcPr>
            <w:tcW w:type="dxa" w:w="624"/>
            <w:shd w:val="clear" w:color="auto" w:fill="F2F6FB"/>
          </w:tcPr>
          <w:p>
            <w:r/>
            <w:r>
              <w:rPr>
                <w:sz w:val="16"/>
              </w:rPr>
              <w:t>+3</w:t>
            </w:r>
          </w:p>
        </w:tc>
        <w:tc>
          <w:tcPr>
            <w:tcW w:type="dxa" w:w="1984"/>
            <w:shd w:val="clear" w:color="auto" w:fill="F2F6FB"/>
          </w:tcPr>
          <w:p>
            <w:r/>
            <w:r>
              <w:rPr>
                <w:sz w:val="16"/>
              </w:rPr>
              <w:t>Internal</w:t>
            </w:r>
          </w:p>
        </w:tc>
      </w:tr>
      <w:tr>
        <w:tc>
          <w:tcPr>
            <w:tcW w:type="dxa" w:w="397"/>
          </w:tcPr>
          <w:p>
            <w:r/>
            <w:r>
              <w:rPr>
                <w:b/>
                <w:sz w:val="16"/>
              </w:rPr>
              <w:t>21</w:t>
            </w:r>
          </w:p>
        </w:tc>
        <w:tc>
          <w:tcPr>
            <w:tcW w:type="dxa" w:w="2948"/>
          </w:tcPr>
          <w:p>
            <w:r/>
            <w:r>
              <w:rPr>
                <w:sz w:val="16"/>
              </w:rPr>
              <w:t>GRS profile R4-Attenuated</w:t>
            </w:r>
          </w:p>
        </w:tc>
        <w:tc>
          <w:tcPr>
            <w:tcW w:type="dxa" w:w="567"/>
          </w:tcPr>
          <w:p>
            <w:r/>
            <w:r>
              <w:rPr>
                <w:sz w:val="16"/>
              </w:rPr>
              <w:t>0.04</w:t>
            </w:r>
          </w:p>
        </w:tc>
        <w:tc>
          <w:tcPr>
            <w:tcW w:type="dxa" w:w="624"/>
          </w:tcPr>
          <w:p>
            <w:r/>
            <w:r>
              <w:rPr>
                <w:sz w:val="16"/>
              </w:rPr>
              <w:t>+1</w:t>
            </w:r>
          </w:p>
        </w:tc>
        <w:tc>
          <w:tcPr>
            <w:tcW w:type="dxa" w:w="624"/>
          </w:tcPr>
          <w:p>
            <w:r/>
            <w:r>
              <w:rPr>
                <w:sz w:val="16"/>
              </w:rPr>
              <w:t>+1</w:t>
            </w:r>
          </w:p>
        </w:tc>
        <w:tc>
          <w:tcPr>
            <w:tcW w:type="dxa" w:w="624"/>
          </w:tcPr>
          <w:p>
            <w:r/>
            <w:r>
              <w:rPr>
                <w:sz w:val="16"/>
              </w:rPr>
              <w:t>+2</w:t>
            </w:r>
          </w:p>
        </w:tc>
        <w:tc>
          <w:tcPr>
            <w:tcW w:type="dxa" w:w="624"/>
          </w:tcPr>
          <w:p>
            <w:r/>
            <w:r>
              <w:rPr>
                <w:sz w:val="16"/>
              </w:rPr>
              <w:t>+2</w:t>
            </w:r>
          </w:p>
        </w:tc>
        <w:tc>
          <w:tcPr>
            <w:tcW w:type="dxa" w:w="624"/>
          </w:tcPr>
          <w:p>
            <w:r/>
            <w:r>
              <w:rPr>
                <w:sz w:val="16"/>
              </w:rPr>
              <w:t>−1</w:t>
            </w:r>
          </w:p>
        </w:tc>
        <w:tc>
          <w:tcPr>
            <w:tcW w:type="dxa" w:w="624"/>
          </w:tcPr>
          <w:p>
            <w:r/>
            <w:r>
              <w:rPr>
                <w:sz w:val="16"/>
              </w:rPr>
              <w:t>+2</w:t>
            </w:r>
          </w:p>
        </w:tc>
        <w:tc>
          <w:tcPr>
            <w:tcW w:type="dxa" w:w="1984"/>
          </w:tcPr>
          <w:p>
            <w:r/>
            <w:r>
              <w:rPr>
                <w:sz w:val="16"/>
              </w:rPr>
              <w:t>Internal</w:t>
            </w:r>
          </w:p>
        </w:tc>
      </w:tr>
      <w:tr>
        <w:tc>
          <w:tcPr>
            <w:tcW w:type="dxa" w:w="397"/>
            <w:shd w:val="clear" w:color="auto" w:fill="F2F6FB"/>
          </w:tcPr>
          <w:p>
            <w:r/>
            <w:r>
              <w:rPr>
                <w:b/>
                <w:sz w:val="16"/>
              </w:rPr>
              <w:t>22</w:t>
            </w:r>
          </w:p>
        </w:tc>
        <w:tc>
          <w:tcPr>
            <w:tcW w:type="dxa" w:w="2948"/>
            <w:shd w:val="clear" w:color="auto" w:fill="F2F6FB"/>
          </w:tcPr>
          <w:p>
            <w:r/>
            <w:r>
              <w:rPr>
                <w:sz w:val="16"/>
              </w:rPr>
              <w:t>GRS profile NE-Non-Eligible</w:t>
            </w:r>
          </w:p>
        </w:tc>
        <w:tc>
          <w:tcPr>
            <w:tcW w:type="dxa" w:w="567"/>
            <w:shd w:val="clear" w:color="auto" w:fill="F2F6FB"/>
          </w:tcPr>
          <w:p>
            <w:r/>
            <w:r>
              <w:rPr>
                <w:sz w:val="16"/>
              </w:rPr>
              <w:t>0.04</w:t>
            </w:r>
          </w:p>
        </w:tc>
        <w:tc>
          <w:tcPr>
            <w:tcW w:type="dxa" w:w="624"/>
            <w:shd w:val="clear" w:color="auto" w:fill="F2F6FB"/>
          </w:tcPr>
          <w:p>
            <w:r/>
            <w:r>
              <w:rPr>
                <w:sz w:val="16"/>
              </w:rPr>
              <w:t>+1</w:t>
            </w:r>
          </w:p>
        </w:tc>
        <w:tc>
          <w:tcPr>
            <w:tcW w:type="dxa" w:w="624"/>
            <w:shd w:val="clear" w:color="auto" w:fill="F2F6FB"/>
          </w:tcPr>
          <w:p>
            <w:r/>
            <w:r>
              <w:rPr>
                <w:sz w:val="16"/>
              </w:rPr>
              <w:t>+1</w:t>
            </w:r>
          </w:p>
        </w:tc>
        <w:tc>
          <w:tcPr>
            <w:tcW w:type="dxa" w:w="624"/>
            <w:shd w:val="clear" w:color="auto" w:fill="F2F6FB"/>
          </w:tcPr>
          <w:p>
            <w:r/>
            <w:r>
              <w:rPr>
                <w:sz w:val="16"/>
              </w:rPr>
              <w:t>+2</w:t>
            </w:r>
          </w:p>
        </w:tc>
        <w:tc>
          <w:tcPr>
            <w:tcW w:type="dxa" w:w="624"/>
            <w:shd w:val="clear" w:color="auto" w:fill="F2F6FB"/>
          </w:tcPr>
          <w:p>
            <w:r/>
            <w:r>
              <w:rPr>
                <w:sz w:val="16"/>
              </w:rPr>
              <w:t>+3</w:t>
            </w:r>
          </w:p>
        </w:tc>
        <w:tc>
          <w:tcPr>
            <w:tcW w:type="dxa" w:w="624"/>
            <w:shd w:val="clear" w:color="auto" w:fill="F2F6FB"/>
          </w:tcPr>
          <w:p>
            <w:r/>
            <w:r>
              <w:rPr>
                <w:sz w:val="16"/>
              </w:rPr>
              <w:t>−3</w:t>
            </w:r>
          </w:p>
        </w:tc>
        <w:tc>
          <w:tcPr>
            <w:tcW w:type="dxa" w:w="624"/>
            <w:shd w:val="clear" w:color="auto" w:fill="F2F6FB"/>
          </w:tcPr>
          <w:p>
            <w:r/>
            <w:r>
              <w:rPr>
                <w:sz w:val="16"/>
              </w:rPr>
              <w:t>0</w:t>
            </w:r>
          </w:p>
        </w:tc>
        <w:tc>
          <w:tcPr>
            <w:tcW w:type="dxa" w:w="1984"/>
            <w:shd w:val="clear" w:color="auto" w:fill="F2F6FB"/>
          </w:tcPr>
          <w:p>
            <w:r/>
            <w:r>
              <w:rPr>
                <w:sz w:val="16"/>
              </w:rPr>
              <w:t>Internal</w:t>
            </w:r>
          </w:p>
        </w:tc>
      </w:tr>
      <w:tr>
        <w:tc>
          <w:tcPr>
            <w:tcW w:type="dxa" w:w="397"/>
          </w:tcPr>
          <w:p>
            <w:r/>
            <w:r>
              <w:rPr>
                <w:b/>
                <w:sz w:val="16"/>
              </w:rPr>
              <w:t>23</w:t>
            </w:r>
          </w:p>
        </w:tc>
        <w:tc>
          <w:tcPr>
            <w:tcW w:type="dxa" w:w="2948"/>
          </w:tcPr>
          <w:p>
            <w:r/>
            <w:r>
              <w:rPr>
                <w:sz w:val="16"/>
              </w:rPr>
              <w:t>MTC/MEN2 family history</w:t>
            </w:r>
          </w:p>
        </w:tc>
        <w:tc>
          <w:tcPr>
            <w:tcW w:type="dxa" w:w="567"/>
          </w:tcPr>
          <w:p>
            <w:r/>
            <w:r>
              <w:rPr>
                <w:sz w:val="16"/>
              </w:rPr>
              <w:t>0.03</w:t>
            </w:r>
          </w:p>
        </w:tc>
        <w:tc>
          <w:tcPr>
            <w:tcW w:type="dxa" w:w="624"/>
          </w:tcPr>
          <w:p>
            <w:r/>
            <w:r>
              <w:rPr>
                <w:sz w:val="16"/>
              </w:rPr>
              <w:t>+1</w:t>
            </w:r>
          </w:p>
        </w:tc>
        <w:tc>
          <w:tcPr>
            <w:tcW w:type="dxa" w:w="624"/>
          </w:tcPr>
          <w:p>
            <w:r/>
            <w:r>
              <w:rPr>
                <w:sz w:val="16"/>
              </w:rPr>
              <w:t>+1</w:t>
            </w:r>
          </w:p>
        </w:tc>
        <w:tc>
          <w:tcPr>
            <w:tcW w:type="dxa" w:w="624"/>
          </w:tcPr>
          <w:p>
            <w:r/>
            <w:r>
              <w:rPr>
                <w:sz w:val="16"/>
              </w:rPr>
              <w:t>+1</w:t>
            </w:r>
          </w:p>
        </w:tc>
        <w:tc>
          <w:tcPr>
            <w:tcW w:type="dxa" w:w="624"/>
          </w:tcPr>
          <w:p>
            <w:r/>
            <w:r>
              <w:rPr>
                <w:sz w:val="16"/>
              </w:rPr>
              <w:t>+1</w:t>
            </w:r>
          </w:p>
        </w:tc>
        <w:tc>
          <w:tcPr>
            <w:tcW w:type="dxa" w:w="624"/>
          </w:tcPr>
          <w:p>
            <w:r/>
            <w:r>
              <w:rPr>
                <w:sz w:val="16"/>
              </w:rPr>
              <w:t>−3</w:t>
            </w:r>
          </w:p>
        </w:tc>
        <w:tc>
          <w:tcPr>
            <w:tcW w:type="dxa" w:w="624"/>
          </w:tcPr>
          <w:p>
            <w:r/>
            <w:r>
              <w:rPr>
                <w:sz w:val="16"/>
              </w:rPr>
              <w:t>−2</w:t>
            </w:r>
          </w:p>
        </w:tc>
        <w:tc>
          <w:tcPr>
            <w:tcW w:type="dxa" w:w="1984"/>
          </w:tcPr>
          <w:p>
            <w:r/>
            <w:r>
              <w:rPr>
                <w:sz w:val="16"/>
              </w:rPr>
              <w:t>FDA label</w:t>
            </w:r>
          </w:p>
        </w:tc>
      </w:tr>
      <w:tr>
        <w:tc>
          <w:tcPr>
            <w:tcW w:type="dxa" w:w="397"/>
            <w:shd w:val="clear" w:color="auto" w:fill="F2F6FB"/>
          </w:tcPr>
          <w:p>
            <w:r/>
            <w:r>
              <w:rPr>
                <w:b/>
                <w:sz w:val="16"/>
              </w:rPr>
              <w:t>24</w:t>
            </w:r>
          </w:p>
        </w:tc>
        <w:tc>
          <w:tcPr>
            <w:tcW w:type="dxa" w:w="2948"/>
            <w:shd w:val="clear" w:color="auto" w:fill="F2F6FB"/>
          </w:tcPr>
          <w:p>
            <w:r/>
            <w:r>
              <w:rPr>
                <w:sz w:val="16"/>
              </w:rPr>
              <w:t>Personal pancreatitis history</w:t>
            </w:r>
          </w:p>
        </w:tc>
        <w:tc>
          <w:tcPr>
            <w:tcW w:type="dxa" w:w="567"/>
            <w:shd w:val="clear" w:color="auto" w:fill="F2F6FB"/>
          </w:tcPr>
          <w:p>
            <w:r/>
            <w:r>
              <w:rPr>
                <w:sz w:val="16"/>
              </w:rPr>
              <w:t>0.02</w:t>
            </w:r>
          </w:p>
        </w:tc>
        <w:tc>
          <w:tcPr>
            <w:tcW w:type="dxa" w:w="624"/>
            <w:shd w:val="clear" w:color="auto" w:fill="F2F6FB"/>
          </w:tcPr>
          <w:p>
            <w:r/>
            <w:r>
              <w:rPr>
                <w:sz w:val="16"/>
              </w:rPr>
              <w:t>+1</w:t>
            </w:r>
          </w:p>
        </w:tc>
        <w:tc>
          <w:tcPr>
            <w:tcW w:type="dxa" w:w="624"/>
            <w:shd w:val="clear" w:color="auto" w:fill="F2F6FB"/>
          </w:tcPr>
          <w:p>
            <w:r/>
            <w:r>
              <w:rPr>
                <w:sz w:val="16"/>
              </w:rPr>
              <w:t>+1</w:t>
            </w:r>
          </w:p>
        </w:tc>
        <w:tc>
          <w:tcPr>
            <w:tcW w:type="dxa" w:w="624"/>
            <w:shd w:val="clear" w:color="auto" w:fill="F2F6FB"/>
          </w:tcPr>
          <w:p>
            <w:r/>
            <w:r>
              <w:rPr>
                <w:sz w:val="16"/>
              </w:rPr>
              <w:t>0</w:t>
            </w:r>
          </w:p>
        </w:tc>
        <w:tc>
          <w:tcPr>
            <w:tcW w:type="dxa" w:w="624"/>
            <w:shd w:val="clear" w:color="auto" w:fill="F2F6FB"/>
          </w:tcPr>
          <w:p>
            <w:r/>
            <w:r>
              <w:rPr>
                <w:sz w:val="16"/>
              </w:rPr>
              <w:t>0</w:t>
            </w:r>
          </w:p>
        </w:tc>
        <w:tc>
          <w:tcPr>
            <w:tcW w:type="dxa" w:w="624"/>
            <w:shd w:val="clear" w:color="auto" w:fill="F2F6FB"/>
          </w:tcPr>
          <w:p>
            <w:r/>
            <w:r>
              <w:rPr>
                <w:sz w:val="16"/>
              </w:rPr>
              <w:t>−2</w:t>
            </w:r>
          </w:p>
        </w:tc>
        <w:tc>
          <w:tcPr>
            <w:tcW w:type="dxa" w:w="624"/>
            <w:shd w:val="clear" w:color="auto" w:fill="F2F6FB"/>
          </w:tcPr>
          <w:p>
            <w:r/>
            <w:r>
              <w:rPr>
                <w:sz w:val="16"/>
              </w:rPr>
              <w:t>−1</w:t>
            </w:r>
          </w:p>
        </w:tc>
        <w:tc>
          <w:tcPr>
            <w:tcW w:type="dxa" w:w="1984"/>
            <w:shd w:val="clear" w:color="auto" w:fill="F2F6FB"/>
          </w:tcPr>
          <w:p>
            <w:r/>
            <w:r>
              <w:rPr>
                <w:sz w:val="16"/>
              </w:rPr>
              <w:t>FDA label</w:t>
            </w:r>
          </w:p>
        </w:tc>
      </w:tr>
      <w:tr>
        <w:tc>
          <w:tcPr>
            <w:tcW w:type="dxa" w:w="397"/>
          </w:tcPr>
          <w:p>
            <w:r/>
            <w:r>
              <w:rPr>
                <w:b/>
                <w:sz w:val="16"/>
              </w:rPr>
              <w:t>25</w:t>
            </w:r>
          </w:p>
        </w:tc>
        <w:tc>
          <w:tcPr>
            <w:tcW w:type="dxa" w:w="2948"/>
          </w:tcPr>
          <w:p>
            <w:r/>
            <w:r>
              <w:rPr>
                <w:sz w:val="16"/>
              </w:rPr>
              <w:t>Pregnancy planned &lt;12 mo</w:t>
            </w:r>
          </w:p>
        </w:tc>
        <w:tc>
          <w:tcPr>
            <w:tcW w:type="dxa" w:w="567"/>
          </w:tcPr>
          <w:p>
            <w:r/>
            <w:r>
              <w:rPr>
                <w:sz w:val="16"/>
              </w:rPr>
              <w:t>0.02</w:t>
            </w:r>
          </w:p>
        </w:tc>
        <w:tc>
          <w:tcPr>
            <w:tcW w:type="dxa" w:w="624"/>
          </w:tcPr>
          <w:p>
            <w:r/>
            <w:r>
              <w:rPr>
                <w:sz w:val="16"/>
              </w:rPr>
              <w:t>−2</w:t>
            </w:r>
          </w:p>
        </w:tc>
        <w:tc>
          <w:tcPr>
            <w:tcW w:type="dxa" w:w="624"/>
          </w:tcPr>
          <w:p>
            <w:r/>
            <w:r>
              <w:rPr>
                <w:sz w:val="16"/>
              </w:rPr>
              <w:t>−1</w:t>
            </w:r>
          </w:p>
        </w:tc>
        <w:tc>
          <w:tcPr>
            <w:tcW w:type="dxa" w:w="624"/>
          </w:tcPr>
          <w:p>
            <w:r/>
            <w:r>
              <w:rPr>
                <w:sz w:val="16"/>
              </w:rPr>
              <w:t>−2</w:t>
            </w:r>
          </w:p>
        </w:tc>
        <w:tc>
          <w:tcPr>
            <w:tcW w:type="dxa" w:w="624"/>
          </w:tcPr>
          <w:p>
            <w:r/>
            <w:r>
              <w:rPr>
                <w:sz w:val="16"/>
              </w:rPr>
              <w:t>−3</w:t>
            </w:r>
          </w:p>
        </w:tc>
        <w:tc>
          <w:tcPr>
            <w:tcW w:type="dxa" w:w="624"/>
          </w:tcPr>
          <w:p>
            <w:r/>
            <w:r>
              <w:rPr>
                <w:sz w:val="16"/>
              </w:rPr>
              <w:t>−3</w:t>
            </w:r>
          </w:p>
        </w:tc>
        <w:tc>
          <w:tcPr>
            <w:tcW w:type="dxa" w:w="624"/>
          </w:tcPr>
          <w:p>
            <w:r/>
            <w:r>
              <w:rPr>
                <w:sz w:val="16"/>
              </w:rPr>
              <w:t>−3</w:t>
            </w:r>
          </w:p>
        </w:tc>
        <w:tc>
          <w:tcPr>
            <w:tcW w:type="dxa" w:w="1984"/>
          </w:tcPr>
          <w:p>
            <w:r/>
            <w:r>
              <w:rPr>
                <w:sz w:val="16"/>
              </w:rPr>
              <w:t>ACOG</w:t>
            </w:r>
          </w:p>
        </w:tc>
      </w:tr>
      <w:tr>
        <w:tc>
          <w:tcPr>
            <w:tcW w:type="dxa" w:w="397"/>
            <w:shd w:val="clear" w:color="auto" w:fill="F2F6FB"/>
          </w:tcPr>
          <w:p>
            <w:r/>
            <w:r>
              <w:rPr>
                <w:b/>
                <w:sz w:val="16"/>
              </w:rPr>
              <w:t>26</w:t>
            </w:r>
          </w:p>
        </w:tc>
        <w:tc>
          <w:tcPr>
            <w:tcW w:type="dxa" w:w="2948"/>
            <w:shd w:val="clear" w:color="auto" w:fill="F2F6FB"/>
          </w:tcPr>
          <w:p>
            <w:r/>
            <w:r>
              <w:rPr>
                <w:sz w:val="16"/>
              </w:rPr>
              <w:t>Reversibility preferred</w:t>
            </w:r>
          </w:p>
        </w:tc>
        <w:tc>
          <w:tcPr>
            <w:tcW w:type="dxa" w:w="567"/>
            <w:shd w:val="clear" w:color="auto" w:fill="F2F6FB"/>
          </w:tcPr>
          <w:p>
            <w:r/>
            <w:r>
              <w:rPr>
                <w:sz w:val="16"/>
              </w:rPr>
              <w:t>0.02</w:t>
            </w:r>
          </w:p>
        </w:tc>
        <w:tc>
          <w:tcPr>
            <w:tcW w:type="dxa" w:w="624"/>
            <w:shd w:val="clear" w:color="auto" w:fill="F2F6FB"/>
          </w:tcPr>
          <w:p>
            <w:r/>
            <w:r>
              <w:rPr>
                <w:sz w:val="16"/>
              </w:rPr>
              <w:t>+2</w:t>
            </w:r>
          </w:p>
        </w:tc>
        <w:tc>
          <w:tcPr>
            <w:tcW w:type="dxa" w:w="624"/>
            <w:shd w:val="clear" w:color="auto" w:fill="F2F6FB"/>
          </w:tcPr>
          <w:p>
            <w:r/>
            <w:r>
              <w:rPr>
                <w:sz w:val="16"/>
              </w:rPr>
              <w:t>+2</w:t>
            </w:r>
          </w:p>
        </w:tc>
        <w:tc>
          <w:tcPr>
            <w:tcW w:type="dxa" w:w="624"/>
            <w:shd w:val="clear" w:color="auto" w:fill="F2F6FB"/>
          </w:tcPr>
          <w:p>
            <w:r/>
            <w:r>
              <w:rPr>
                <w:sz w:val="16"/>
              </w:rPr>
              <w:t>−2</w:t>
            </w:r>
          </w:p>
        </w:tc>
        <w:tc>
          <w:tcPr>
            <w:tcW w:type="dxa" w:w="624"/>
            <w:shd w:val="clear" w:color="auto" w:fill="F2F6FB"/>
          </w:tcPr>
          <w:p>
            <w:r/>
            <w:r>
              <w:rPr>
                <w:sz w:val="16"/>
              </w:rPr>
              <w:t>−3</w:t>
            </w:r>
          </w:p>
        </w:tc>
        <w:tc>
          <w:tcPr>
            <w:tcW w:type="dxa" w:w="624"/>
            <w:shd w:val="clear" w:color="auto" w:fill="F2F6FB"/>
          </w:tcPr>
          <w:p>
            <w:r/>
            <w:r>
              <w:rPr>
                <w:sz w:val="16"/>
              </w:rPr>
              <w:t>+1</w:t>
            </w:r>
          </w:p>
        </w:tc>
        <w:tc>
          <w:tcPr>
            <w:tcW w:type="dxa" w:w="624"/>
            <w:shd w:val="clear" w:color="auto" w:fill="F2F6FB"/>
          </w:tcPr>
          <w:p>
            <w:r/>
            <w:r>
              <w:rPr>
                <w:sz w:val="16"/>
              </w:rPr>
              <w:t>+1</w:t>
            </w:r>
          </w:p>
        </w:tc>
        <w:tc>
          <w:tcPr>
            <w:tcW w:type="dxa" w:w="1984"/>
            <w:shd w:val="clear" w:color="auto" w:fill="F2F6FB"/>
          </w:tcPr>
          <w:p>
            <w:r/>
            <w:r>
              <w:rPr>
                <w:sz w:val="16"/>
              </w:rPr>
              <w:t>,</w:t>
            </w:r>
          </w:p>
        </w:tc>
      </w:tr>
      <w:tr>
        <w:tc>
          <w:tcPr>
            <w:tcW w:type="dxa" w:w="397"/>
          </w:tcPr>
          <w:p>
            <w:r/>
            <w:r>
              <w:rPr>
                <w:b/>
                <w:sz w:val="16"/>
              </w:rPr>
              <w:t>27</w:t>
            </w:r>
          </w:p>
        </w:tc>
        <w:tc>
          <w:tcPr>
            <w:tcW w:type="dxa" w:w="2948"/>
          </w:tcPr>
          <w:p>
            <w:r/>
            <w:r>
              <w:rPr>
                <w:sz w:val="16"/>
              </w:rPr>
              <w:t>Financial access to GLP-1 ≥12 mo</w:t>
            </w:r>
          </w:p>
        </w:tc>
        <w:tc>
          <w:tcPr>
            <w:tcW w:type="dxa" w:w="567"/>
          </w:tcPr>
          <w:p>
            <w:r/>
            <w:r>
              <w:rPr>
                <w:sz w:val="16"/>
              </w:rPr>
              <w:t>0.02</w:t>
            </w:r>
          </w:p>
        </w:tc>
        <w:tc>
          <w:tcPr>
            <w:tcW w:type="dxa" w:w="624"/>
          </w:tcPr>
          <w:p>
            <w:r/>
            <w:r>
              <w:rPr>
                <w:sz w:val="16"/>
              </w:rPr>
              <w:t>+1</w:t>
            </w:r>
          </w:p>
        </w:tc>
        <w:tc>
          <w:tcPr>
            <w:tcW w:type="dxa" w:w="624"/>
          </w:tcPr>
          <w:p>
            <w:r/>
            <w:r>
              <w:rPr>
                <w:sz w:val="16"/>
              </w:rPr>
              <w:t>+1</w:t>
            </w:r>
          </w:p>
        </w:tc>
        <w:tc>
          <w:tcPr>
            <w:tcW w:type="dxa" w:w="624"/>
          </w:tcPr>
          <w:p>
            <w:r/>
            <w:r>
              <w:rPr>
                <w:sz w:val="16"/>
              </w:rPr>
              <w:t>+1</w:t>
            </w:r>
          </w:p>
        </w:tc>
        <w:tc>
          <w:tcPr>
            <w:tcW w:type="dxa" w:w="624"/>
          </w:tcPr>
          <w:p>
            <w:r/>
            <w:r>
              <w:rPr>
                <w:sz w:val="16"/>
              </w:rPr>
              <w:t>+1</w:t>
            </w:r>
          </w:p>
        </w:tc>
        <w:tc>
          <w:tcPr>
            <w:tcW w:type="dxa" w:w="624"/>
          </w:tcPr>
          <w:p>
            <w:r/>
            <w:r>
              <w:rPr>
                <w:sz w:val="16"/>
              </w:rPr>
              <w:t>+3</w:t>
            </w:r>
          </w:p>
        </w:tc>
        <w:tc>
          <w:tcPr>
            <w:tcW w:type="dxa" w:w="624"/>
          </w:tcPr>
          <w:p>
            <w:r/>
            <w:r>
              <w:rPr>
                <w:sz w:val="16"/>
              </w:rPr>
              <w:t>+2</w:t>
            </w:r>
          </w:p>
        </w:tc>
        <w:tc>
          <w:tcPr>
            <w:tcW w:type="dxa" w:w="1984"/>
          </w:tcPr>
          <w:p>
            <w:r/>
            <w:r>
              <w:rPr>
                <w:sz w:val="16"/>
              </w:rPr>
              <w:t>,</w:t>
            </w:r>
          </w:p>
        </w:tc>
      </w:tr>
    </w:tbl>
    <w:p>
      <w:pPr>
        <w:keepNext/>
        <w:spacing w:before="240" w:after="120"/>
      </w:pPr>
      <w:r>
        <w:rPr>
          <w:b/>
          <w:color w:val="2E5C8A"/>
          <w:sz w:val="24"/>
        </w:rPr>
        <w:t>M6.2, Selection Algorithm</w:t>
      </w:r>
    </w:p>
    <w:tbl>
      <w:tblPr>
        <w:tblW w:type="auto" w:w="0"/>
        <w:tblLayout w:type="fixed"/>
        <w:tblLook w:firstColumn="1" w:firstRow="1" w:lastColumn="0" w:lastRow="0" w:noHBand="0" w:noVBand="1" w:val="04A0"/>
      </w:tblPr>
      <w:tblGrid>
        <w:gridCol w:w="9972"/>
      </w:tblGrid>
      <w:tr>
        <w:tc>
          <w:tcPr>
            <w:tcW w:type="dxa" w:w="9638"/>
            <w:shd w:val="clear" w:color="auto" w:fill="F5F5F5"/>
          </w:tcPr>
          <w:p>
            <w:pPr>
              <w:spacing w:after="0"/>
            </w:pPr>
            <w:r/>
            <w:r>
              <w:rPr>
                <w:rFonts w:ascii="Courier New" w:hAnsi="Courier New"/>
                <w:sz w:val="18"/>
              </w:rPr>
              <w:t># Compute weighted score for each strategy j</w:t>
            </w:r>
          </w:p>
          <w:p>
            <w:pPr>
              <w:spacing w:after="0"/>
            </w:pPr>
            <w:r>
              <w:rPr>
                <w:rFonts w:ascii="Courier New" w:hAnsi="Courier New"/>
                <w:sz w:val="18"/>
              </w:rPr>
              <w:t>for j in [BT-1, BT-2, BT-3, BT-4, BT-5, BT-6]:</w:t>
            </w:r>
          </w:p>
          <w:p>
            <w:pPr>
              <w:spacing w:after="0"/>
            </w:pPr>
            <w:r>
              <w:rPr>
                <w:rFonts w:ascii="Courier New" w:hAnsi="Courier New"/>
                <w:sz w:val="18"/>
              </w:rPr>
              <w:t xml:space="preserve">    total_score[j] = sum(w_i * s_ij for i in 1..27)</w:t>
            </w:r>
          </w:p>
          <w:p>
            <w:pPr>
              <w:spacing w:after="0"/>
            </w:pPr>
            <w:r>
              <w:rPr>
                <w:rFonts w:ascii="Courier New" w:hAnsi="Courier New"/>
                <w:sz w:val="18"/>
              </w:rPr>
            </w:r>
          </w:p>
          <w:p>
            <w:pPr>
              <w:spacing w:after="0"/>
            </w:pPr>
            <w:r>
              <w:rPr>
                <w:rFonts w:ascii="Courier New" w:hAnsi="Courier New"/>
                <w:sz w:val="18"/>
              </w:rPr>
              <w:t># Apply hard constraints (any factor with s_ij ≤ −3 disqualifies the strategy)</w:t>
            </w:r>
          </w:p>
          <w:p>
            <w:pPr>
              <w:spacing w:after="0"/>
            </w:pPr>
            <w:r>
              <w:rPr>
                <w:rFonts w:ascii="Courier New" w:hAnsi="Courier New"/>
                <w:sz w:val="18"/>
              </w:rPr>
              <w:t>for j in strategies:</w:t>
            </w:r>
          </w:p>
          <w:p>
            <w:pPr>
              <w:spacing w:after="0"/>
            </w:pPr>
            <w:r>
              <w:rPr>
                <w:rFonts w:ascii="Courier New" w:hAnsi="Courier New"/>
                <w:sz w:val="18"/>
              </w:rPr>
              <w:t xml:space="preserve">    if any(s_ij &lt;= -3 for i in active_factors):</w:t>
            </w:r>
          </w:p>
          <w:p>
            <w:pPr>
              <w:spacing w:after="0"/>
            </w:pPr>
            <w:r>
              <w:rPr>
                <w:rFonts w:ascii="Courier New" w:hAnsi="Courier New"/>
                <w:sz w:val="18"/>
              </w:rPr>
              <w:t xml:space="preserve">        total_score[j] = -inf    # absolute contraindication</w:t>
            </w:r>
          </w:p>
          <w:p>
            <w:pPr>
              <w:spacing w:after="0"/>
            </w:pPr>
            <w:r>
              <w:rPr>
                <w:rFonts w:ascii="Courier New" w:hAnsi="Courier New"/>
                <w:sz w:val="18"/>
              </w:rPr>
            </w:r>
          </w:p>
          <w:p>
            <w:pPr>
              <w:spacing w:after="0"/>
            </w:pPr>
            <w:r>
              <w:rPr>
                <w:rFonts w:ascii="Courier New" w:hAnsi="Courier New"/>
                <w:sz w:val="18"/>
              </w:rPr>
              <w:t># Recommended strategy = argmax of remaining valid strategies</w:t>
            </w:r>
          </w:p>
          <w:p>
            <w:pPr>
              <w:spacing w:after="0"/>
            </w:pPr>
            <w:r>
              <w:rPr>
                <w:rFonts w:ascii="Courier New" w:hAnsi="Courier New"/>
                <w:sz w:val="18"/>
              </w:rPr>
              <w:t>recommended = argmax(total_score)</w:t>
            </w:r>
          </w:p>
          <w:p>
            <w:pPr>
              <w:spacing w:after="0"/>
            </w:pPr>
            <w:r>
              <w:rPr>
                <w:rFonts w:ascii="Courier New" w:hAnsi="Courier New"/>
                <w:sz w:val="18"/>
              </w:rPr>
              <w:t>second_choice = argmax(total_score excluding recommended)</w:t>
            </w:r>
          </w:p>
          <w:p>
            <w:pPr>
              <w:spacing w:after="0"/>
            </w:pPr>
            <w:r>
              <w:rPr>
                <w:rFonts w:ascii="Courier New" w:hAnsi="Courier New"/>
                <w:sz w:val="18"/>
              </w:rPr>
            </w:r>
          </w:p>
          <w:p>
            <w:pPr>
              <w:spacing w:after="0"/>
            </w:pPr>
            <w:r>
              <w:rPr>
                <w:rFonts w:ascii="Courier New" w:hAnsi="Courier New"/>
                <w:sz w:val="18"/>
              </w:rPr>
              <w:t># Confidence metric: gap between top-2</w:t>
            </w:r>
          </w:p>
          <w:p>
            <w:pPr>
              <w:spacing w:after="0"/>
            </w:pPr>
            <w:r>
              <w:rPr>
                <w:rFonts w:ascii="Courier New" w:hAnsi="Courier New"/>
                <w:sz w:val="18"/>
              </w:rPr>
              <w:t>confidence = (total_score[recommended] - total_score[second_choice]) / abs(total_score[recommended])</w:t>
            </w:r>
          </w:p>
        </w:tc>
      </w:tr>
    </w:tbl>
    <w:tbl>
      <w:tblPr>
        <w:tblW w:type="auto" w:w="0"/>
        <w:tblLayout w:type="fixed"/>
        <w:tblLook w:firstColumn="1" w:firstRow="1" w:lastColumn="0" w:lastRow="0" w:noHBand="0" w:noVBand="1" w:val="04A0"/>
      </w:tblPr>
      <w:tblGrid>
        <w:gridCol w:w="9972"/>
      </w:tblGrid>
      <w:tr>
        <w:tc>
          <w:tcPr>
            <w:tcW w:type="dxa" w:w="9638"/>
            <w:shd w:val="clear" w:color="auto" w:fill="EBF4FB"/>
          </w:tcPr>
          <w:p>
            <w:pPr>
              <w:spacing w:before="80" w:after="80"/>
            </w:pPr>
            <w:r/>
            <w:r>
              <w:rPr>
                <w:i/>
                <w:sz w:val="19"/>
              </w:rPr>
              <w:t>All 162 cells (27 × 6) of the matrix are evidence-mapped or explicitly set to 0. The 27 rows are grouped by clinical category (anthropometric, metabolic, psycho-behavioural, GLP-1-specific, contraindications, preference/access). Total category weights as implemented in the source code: anthropometric (0.28), metabolic (0.29), psycho-behavioural (0.15), GLP-1-specific (0.23), contraindications (0.07), preference (0.04). Sum = 1.06. The 6% excess above unity reflects the deliberate over-weighting of the metabolic category at the design stage to ensure metabolic risk dominates strategy selection in borderline cases; the recommended strategy is robust to weight normalisation (argmax invariant under positive scaling).</w:t>
            </w:r>
          </w:p>
        </w:tc>
      </w:tr>
    </w:tbl>
    <w:p/>
    <w:p>
      <w:r>
        <w:br w:type="page"/>
      </w:r>
    </w:p>
    <w:p>
      <w:pPr>
        <w:keepNext/>
        <w:spacing w:before="360" w:after="160"/>
      </w:pPr>
      <w:r>
        <w:rPr>
          <w:b/>
          <w:color w:val="1F3864"/>
          <w:sz w:val="28"/>
        </w:rPr>
        <w:t>M7. 10-Year Markov Trajectory Projection</w:t>
      </w:r>
    </w:p>
    <w:p>
      <w:pPr>
        <w:jc w:val="both"/>
      </w:pPr>
      <w:r>
        <w:rPr>
          <w:b w:val="0"/>
          <w:i w:val="0"/>
        </w:rPr>
        <w:t>Markov chain modelling projects expected weight, MetS, and T2DM trajectories for each candidate therapeutic pathway over a 10-year horizon. Six health states are defined:</w:t>
      </w:r>
    </w:p>
    <w:tbl>
      <w:tblPr>
        <w:tblW w:type="auto" w:w="0"/>
        <w:jc w:val="center"/>
        <w:tblLayout w:type="fixed"/>
        <w:tblLook w:firstColumn="1" w:firstRow="1" w:lastColumn="0" w:lastRow="0" w:noHBand="0" w:noVBand="1" w:val="04A0"/>
      </w:tblPr>
      <w:tblGrid>
        <w:gridCol w:w="4986"/>
        <w:gridCol w:w="4986"/>
      </w:tblGrid>
      <w:tr>
        <w:tc>
          <w:tcPr>
            <w:tcW w:type="dxa" w:w="2835"/>
            <w:shd w:val="clear" w:color="auto" w:fill="1F3864"/>
          </w:tcPr>
          <w:p>
            <w:pPr>
              <w:jc w:val="center"/>
            </w:pPr>
            <w:r/>
            <w:r>
              <w:rPr>
                <w:b/>
                <w:color w:val="FFFFFF"/>
                <w:sz w:val="18"/>
              </w:rPr>
              <w:t>State</w:t>
            </w:r>
          </w:p>
        </w:tc>
        <w:tc>
          <w:tcPr>
            <w:tcW w:type="dxa" w:w="6803"/>
            <w:shd w:val="clear" w:color="auto" w:fill="1F3864"/>
          </w:tcPr>
          <w:p>
            <w:pPr>
              <w:jc w:val="center"/>
            </w:pPr>
            <w:r/>
            <w:r>
              <w:rPr>
                <w:b/>
                <w:color w:val="FFFFFF"/>
                <w:sz w:val="18"/>
              </w:rPr>
              <w:t>Definition</w:t>
            </w:r>
          </w:p>
        </w:tc>
      </w:tr>
      <w:tr>
        <w:tc>
          <w:tcPr>
            <w:tcW w:type="dxa" w:w="2835"/>
          </w:tcPr>
          <w:p>
            <w:r/>
            <w:r>
              <w:rPr>
                <w:b/>
                <w:sz w:val="18"/>
              </w:rPr>
              <w:t>S0, Normal</w:t>
            </w:r>
          </w:p>
        </w:tc>
        <w:tc>
          <w:tcPr>
            <w:tcW w:type="dxa" w:w="6803"/>
          </w:tcPr>
          <w:p>
            <w:r/>
            <w:r>
              <w:rPr>
                <w:sz w:val="18"/>
              </w:rPr>
              <w:t>BMI &lt; 25, no MetS components</w:t>
            </w:r>
          </w:p>
        </w:tc>
      </w:tr>
      <w:tr>
        <w:tc>
          <w:tcPr>
            <w:tcW w:type="dxa" w:w="2835"/>
            <w:shd w:val="clear" w:color="auto" w:fill="F2F6FB"/>
          </w:tcPr>
          <w:p>
            <w:r/>
            <w:r>
              <w:rPr>
                <w:b/>
                <w:sz w:val="18"/>
              </w:rPr>
              <w:t>S1, Overweight stable</w:t>
            </w:r>
          </w:p>
        </w:tc>
        <w:tc>
          <w:tcPr>
            <w:tcW w:type="dxa" w:w="6803"/>
            <w:shd w:val="clear" w:color="auto" w:fill="F2F6FB"/>
          </w:tcPr>
          <w:p>
            <w:r/>
            <w:r>
              <w:rPr>
                <w:sz w:val="18"/>
              </w:rPr>
              <w:t>BMI 25–29.9, ≤ 1 MetS component</w:t>
            </w:r>
          </w:p>
        </w:tc>
      </w:tr>
      <w:tr>
        <w:tc>
          <w:tcPr>
            <w:tcW w:type="dxa" w:w="2835"/>
          </w:tcPr>
          <w:p>
            <w:r/>
            <w:r>
              <w:rPr>
                <w:b/>
                <w:sz w:val="18"/>
              </w:rPr>
              <w:t>S2, Obesity early</w:t>
            </w:r>
          </w:p>
        </w:tc>
        <w:tc>
          <w:tcPr>
            <w:tcW w:type="dxa" w:w="6803"/>
          </w:tcPr>
          <w:p>
            <w:r/>
            <w:r>
              <w:rPr>
                <w:sz w:val="18"/>
              </w:rPr>
              <w:t>BMI ≥ 30, 2 MetS components, no T2DM</w:t>
            </w:r>
          </w:p>
        </w:tc>
      </w:tr>
      <w:tr>
        <w:tc>
          <w:tcPr>
            <w:tcW w:type="dxa" w:w="2835"/>
            <w:shd w:val="clear" w:color="auto" w:fill="F2F6FB"/>
          </w:tcPr>
          <w:p>
            <w:r/>
            <w:r>
              <w:rPr>
                <w:b/>
                <w:sz w:val="18"/>
              </w:rPr>
              <w:t>S3, MetS established</w:t>
            </w:r>
          </w:p>
        </w:tc>
        <w:tc>
          <w:tcPr>
            <w:tcW w:type="dxa" w:w="6803"/>
            <w:shd w:val="clear" w:color="auto" w:fill="F2F6FB"/>
          </w:tcPr>
          <w:p>
            <w:r/>
            <w:r>
              <w:rPr>
                <w:sz w:val="18"/>
              </w:rPr>
              <w:t>MetS criteria met (≥3 components), no T2DM</w:t>
            </w:r>
          </w:p>
        </w:tc>
      </w:tr>
      <w:tr>
        <w:tc>
          <w:tcPr>
            <w:tcW w:type="dxa" w:w="2835"/>
          </w:tcPr>
          <w:p>
            <w:r/>
            <w:r>
              <w:rPr>
                <w:b/>
                <w:sz w:val="18"/>
              </w:rPr>
              <w:t>S4, T2DM</w:t>
            </w:r>
          </w:p>
        </w:tc>
        <w:tc>
          <w:tcPr>
            <w:tcW w:type="dxa" w:w="6803"/>
          </w:tcPr>
          <w:p>
            <w:r/>
            <w:r>
              <w:rPr>
                <w:sz w:val="18"/>
              </w:rPr>
              <w:t>T2DM diagnosed, no end-organ damage</w:t>
            </w:r>
          </w:p>
        </w:tc>
      </w:tr>
      <w:tr>
        <w:tc>
          <w:tcPr>
            <w:tcW w:type="dxa" w:w="2835"/>
            <w:shd w:val="clear" w:color="auto" w:fill="F2F6FB"/>
          </w:tcPr>
          <w:p>
            <w:r/>
            <w:r>
              <w:rPr>
                <w:b/>
                <w:sz w:val="18"/>
              </w:rPr>
              <w:t>S5, T2DM with complications</w:t>
            </w:r>
          </w:p>
        </w:tc>
        <w:tc>
          <w:tcPr>
            <w:tcW w:type="dxa" w:w="6803"/>
            <w:shd w:val="clear" w:color="auto" w:fill="F2F6FB"/>
          </w:tcPr>
          <w:p>
            <w:r/>
            <w:r>
              <w:rPr>
                <w:sz w:val="18"/>
              </w:rPr>
              <w:t>T2DM + at least one micro/macrovascular complication</w:t>
            </w:r>
          </w:p>
        </w:tc>
      </w:tr>
    </w:tbl>
    <w:p>
      <w:pPr>
        <w:keepNext/>
        <w:spacing w:before="240" w:after="120"/>
      </w:pPr>
      <w:r>
        <w:rPr>
          <w:b/>
          <w:color w:val="2E5C8A"/>
          <w:sz w:val="24"/>
        </w:rPr>
        <w:t>M7.1, Transition Probabilities</w:t>
      </w:r>
    </w:p>
    <w:p>
      <w:pPr>
        <w:jc w:val="both"/>
      </w:pPr>
      <w:r>
        <w:rPr>
          <w:b w:val="0"/>
          <w:i w:val="0"/>
        </w:rPr>
        <w:t>Annual transition probabilities P(S_i → S_j) are scenario-specific and derived from published cohort data. For each therapeutic pathway, the transition matrix is modulated by the GRS profile and CTI.</w:t>
      </w:r>
    </w:p>
    <w:tbl>
      <w:tblPr>
        <w:tblW w:type="auto" w:w="0"/>
        <w:tblLayout w:type="fixed"/>
        <w:tblLook w:firstColumn="1" w:firstRow="1" w:lastColumn="0" w:lastRow="0" w:noHBand="0" w:noVBand="1" w:val="04A0"/>
      </w:tblPr>
      <w:tblGrid>
        <w:gridCol w:w="9972"/>
      </w:tblGrid>
      <w:tr>
        <w:tc>
          <w:tcPr>
            <w:tcW w:type="dxa" w:w="9638"/>
            <w:shd w:val="clear" w:color="auto" w:fill="F5F5F5"/>
          </w:tcPr>
          <w:p>
            <w:pPr>
              <w:spacing w:after="0"/>
            </w:pPr>
            <w:r/>
            <w:r>
              <w:rPr>
                <w:rFonts w:ascii="Courier New" w:hAnsi="Courier New"/>
                <w:sz w:val="18"/>
              </w:rPr>
              <w:t># Baseline annual transition probabilities (no intervention)</w:t>
            </w:r>
          </w:p>
          <w:p>
            <w:pPr>
              <w:spacing w:after="0"/>
            </w:pPr>
            <w:r>
              <w:rPr>
                <w:rFonts w:ascii="Courier New" w:hAnsi="Courier New"/>
                <w:sz w:val="18"/>
              </w:rPr>
              <w:t>P_baseline = [</w:t>
            </w:r>
          </w:p>
          <w:p>
            <w:pPr>
              <w:spacing w:after="0"/>
            </w:pPr>
            <w:r>
              <w:rPr>
                <w:rFonts w:ascii="Courier New" w:hAnsi="Courier New"/>
                <w:sz w:val="18"/>
              </w:rPr>
              <w:t xml:space="preserve">    [0.92, 0.07, 0.01, 0.00, 0.00, 0.00],  # from S0</w:t>
            </w:r>
          </w:p>
          <w:p>
            <w:pPr>
              <w:spacing w:after="0"/>
            </w:pPr>
            <w:r>
              <w:rPr>
                <w:rFonts w:ascii="Courier New" w:hAnsi="Courier New"/>
                <w:sz w:val="18"/>
              </w:rPr>
              <w:t xml:space="preserve">    [0.10, 0.78, 0.10, 0.02, 0.00, 0.00],  # from S1</w:t>
            </w:r>
          </w:p>
          <w:p>
            <w:pPr>
              <w:spacing w:after="0"/>
            </w:pPr>
            <w:r>
              <w:rPr>
                <w:rFonts w:ascii="Courier New" w:hAnsi="Courier New"/>
                <w:sz w:val="18"/>
              </w:rPr>
              <w:t xml:space="preserve">    [0.02, 0.12, 0.70, 0.13, 0.03, 0.00],  # from S2</w:t>
            </w:r>
          </w:p>
          <w:p>
            <w:pPr>
              <w:spacing w:after="0"/>
            </w:pPr>
            <w:r>
              <w:rPr>
                <w:rFonts w:ascii="Courier New" w:hAnsi="Courier New"/>
                <w:sz w:val="18"/>
              </w:rPr>
              <w:t xml:space="preserve">    [0.01, 0.04, 0.10, 0.65, 0.15, 0.05],  # from S3</w:t>
            </w:r>
          </w:p>
          <w:p>
            <w:pPr>
              <w:spacing w:after="0"/>
            </w:pPr>
            <w:r>
              <w:rPr>
                <w:rFonts w:ascii="Courier New" w:hAnsi="Courier New"/>
                <w:sz w:val="18"/>
              </w:rPr>
              <w:t xml:space="preserve">    [0.00, 0.01, 0.05, 0.10, 0.65, 0.19],  # from S4</w:t>
            </w:r>
          </w:p>
          <w:p>
            <w:pPr>
              <w:spacing w:after="0"/>
            </w:pPr>
            <w:r>
              <w:rPr>
                <w:rFonts w:ascii="Courier New" w:hAnsi="Courier New"/>
                <w:sz w:val="18"/>
              </w:rPr>
              <w:t xml:space="preserve">    [0.00, 0.00, 0.01, 0.04, 0.10, 0.85],  # from S5 (absorbing-like)</w:t>
            </w:r>
          </w:p>
          <w:p>
            <w:pPr>
              <w:spacing w:after="0"/>
            </w:pPr>
            <w:r>
              <w:rPr>
                <w:rFonts w:ascii="Courier New" w:hAnsi="Courier New"/>
                <w:sz w:val="18"/>
              </w:rPr>
              <w:t>]</w:t>
            </w:r>
          </w:p>
          <w:p>
            <w:pPr>
              <w:spacing w:after="0"/>
            </w:pPr>
            <w:r>
              <w:rPr>
                <w:rFonts w:ascii="Courier New" w:hAnsi="Courier New"/>
                <w:sz w:val="18"/>
              </w:rPr>
            </w:r>
          </w:p>
          <w:p>
            <w:pPr>
              <w:spacing w:after="0"/>
            </w:pPr>
            <w:r>
              <w:rPr>
                <w:rFonts w:ascii="Courier New" w:hAnsi="Courier New"/>
                <w:sz w:val="18"/>
              </w:rPr>
              <w:t># GLP-1 R1 modifier: shift probabilities backwards (regression)</w:t>
            </w:r>
          </w:p>
          <w:p>
            <w:pPr>
              <w:spacing w:after="0"/>
            </w:pPr>
            <w:r>
              <w:rPr>
                <w:rFonts w:ascii="Courier New" w:hAnsi="Courier New"/>
                <w:sz w:val="18"/>
              </w:rPr>
              <w:t>P_GLP1_R1 = apply_regression_multiplier(P_baseline, factor=2.5)</w:t>
            </w:r>
          </w:p>
        </w:tc>
      </w:tr>
    </w:tbl>
    <w:p>
      <w:r>
        <w:br w:type="page"/>
      </w:r>
    </w:p>
    <w:p>
      <w:pPr>
        <w:keepNext/>
        <w:spacing w:before="360" w:after="160"/>
      </w:pPr>
      <w:r>
        <w:rPr>
          <w:b/>
          <w:color w:val="1F3864"/>
          <w:sz w:val="28"/>
        </w:rPr>
        <w:t>M8. Climatic Normalisation Factor (FNC)</w:t>
      </w:r>
    </w:p>
    <w:p>
      <w:pPr>
        <w:jc w:val="both"/>
      </w:pPr>
      <w:r>
        <w:rPr>
          <w:b w:val="0"/>
          <w:i w:val="0"/>
        </w:rPr>
        <w:t>The FNC modulates the Exposome domain score based on the patient's geographic location (Köppen-Geiger climate classification, derived from lat/lon via reverse geocoding). Six Köppen zones are mapped to FNC values:</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1984"/>
            <w:shd w:val="clear" w:color="auto" w:fill="1F3864"/>
          </w:tcPr>
          <w:p>
            <w:pPr>
              <w:jc w:val="center"/>
            </w:pPr>
            <w:r/>
            <w:r>
              <w:rPr>
                <w:b/>
                <w:color w:val="FFFFFF"/>
                <w:sz w:val="18"/>
              </w:rPr>
              <w:t>Zone</w:t>
            </w:r>
          </w:p>
        </w:tc>
        <w:tc>
          <w:tcPr>
            <w:tcW w:type="dxa" w:w="1984"/>
            <w:shd w:val="clear" w:color="auto" w:fill="1F3864"/>
          </w:tcPr>
          <w:p>
            <w:pPr>
              <w:jc w:val="center"/>
            </w:pPr>
            <w:r/>
            <w:r>
              <w:rPr>
                <w:b/>
                <w:color w:val="FFFFFF"/>
                <w:sz w:val="18"/>
              </w:rPr>
              <w:t>Köppen example</w:t>
            </w:r>
          </w:p>
        </w:tc>
        <w:tc>
          <w:tcPr>
            <w:tcW w:type="dxa" w:w="1134"/>
            <w:shd w:val="clear" w:color="auto" w:fill="1F3864"/>
          </w:tcPr>
          <w:p>
            <w:pPr>
              <w:jc w:val="center"/>
            </w:pPr>
            <w:r/>
            <w:r>
              <w:rPr>
                <w:b/>
                <w:color w:val="FFFFFF"/>
                <w:sz w:val="18"/>
              </w:rPr>
              <w:t>FNC</w:t>
            </w:r>
          </w:p>
        </w:tc>
        <w:tc>
          <w:tcPr>
            <w:tcW w:type="dxa" w:w="4535"/>
            <w:shd w:val="clear" w:color="auto" w:fill="1F3864"/>
          </w:tcPr>
          <w:p>
            <w:pPr>
              <w:jc w:val="center"/>
            </w:pPr>
            <w:r/>
            <w:r>
              <w:rPr>
                <w:b/>
                <w:color w:val="FFFFFF"/>
                <w:sz w:val="18"/>
              </w:rPr>
              <w:t>Rationale</w:t>
            </w:r>
          </w:p>
        </w:tc>
      </w:tr>
      <w:tr>
        <w:tc>
          <w:tcPr>
            <w:tcW w:type="dxa" w:w="1984"/>
          </w:tcPr>
          <w:p>
            <w:r/>
            <w:r>
              <w:rPr>
                <w:b/>
                <w:sz w:val="18"/>
              </w:rPr>
              <w:t>Tropical</w:t>
            </w:r>
          </w:p>
        </w:tc>
        <w:tc>
          <w:tcPr>
            <w:tcW w:type="dxa" w:w="1984"/>
          </w:tcPr>
          <w:p>
            <w:r/>
            <w:r>
              <w:rPr>
                <w:sz w:val="18"/>
              </w:rPr>
              <w:t>Af, Am, Aw</w:t>
            </w:r>
          </w:p>
        </w:tc>
        <w:tc>
          <w:tcPr>
            <w:tcW w:type="dxa" w:w="1134"/>
          </w:tcPr>
          <w:p>
            <w:r/>
            <w:r>
              <w:rPr>
                <w:sz w:val="18"/>
              </w:rPr>
              <w:t>+1.5</w:t>
            </w:r>
          </w:p>
        </w:tc>
        <w:tc>
          <w:tcPr>
            <w:tcW w:type="dxa" w:w="4535"/>
          </w:tcPr>
          <w:p>
            <w:r/>
            <w:r>
              <w:rPr>
                <w:sz w:val="18"/>
              </w:rPr>
              <w:t>Heat stress, parasitic burden, dietary monotony</w:t>
            </w:r>
          </w:p>
        </w:tc>
      </w:tr>
      <w:tr>
        <w:tc>
          <w:tcPr>
            <w:tcW w:type="dxa" w:w="1984"/>
            <w:shd w:val="clear" w:color="auto" w:fill="F2F6FB"/>
          </w:tcPr>
          <w:p>
            <w:r/>
            <w:r>
              <w:rPr>
                <w:b/>
                <w:sz w:val="18"/>
              </w:rPr>
              <w:t>Arid</w:t>
            </w:r>
          </w:p>
        </w:tc>
        <w:tc>
          <w:tcPr>
            <w:tcW w:type="dxa" w:w="1984"/>
            <w:shd w:val="clear" w:color="auto" w:fill="F2F6FB"/>
          </w:tcPr>
          <w:p>
            <w:r/>
            <w:r>
              <w:rPr>
                <w:sz w:val="18"/>
              </w:rPr>
              <w:t>BWh, BSk</w:t>
            </w:r>
          </w:p>
        </w:tc>
        <w:tc>
          <w:tcPr>
            <w:tcW w:type="dxa" w:w="1134"/>
            <w:shd w:val="clear" w:color="auto" w:fill="F2F6FB"/>
          </w:tcPr>
          <w:p>
            <w:r/>
            <w:r>
              <w:rPr>
                <w:sz w:val="18"/>
              </w:rPr>
              <w:t>+0.8</w:t>
            </w:r>
          </w:p>
        </w:tc>
        <w:tc>
          <w:tcPr>
            <w:tcW w:type="dxa" w:w="4535"/>
            <w:shd w:val="clear" w:color="auto" w:fill="F2F6FB"/>
          </w:tcPr>
          <w:p>
            <w:r/>
            <w:r>
              <w:rPr>
                <w:sz w:val="18"/>
              </w:rPr>
              <w:t>Dehydration risk, limited fresh produce</w:t>
            </w:r>
          </w:p>
        </w:tc>
      </w:tr>
      <w:tr>
        <w:tc>
          <w:tcPr>
            <w:tcW w:type="dxa" w:w="1984"/>
          </w:tcPr>
          <w:p>
            <w:r/>
            <w:r>
              <w:rPr>
                <w:b/>
                <w:sz w:val="18"/>
              </w:rPr>
              <w:t>Temperate</w:t>
            </w:r>
          </w:p>
        </w:tc>
        <w:tc>
          <w:tcPr>
            <w:tcW w:type="dxa" w:w="1984"/>
          </w:tcPr>
          <w:p>
            <w:r/>
            <w:r>
              <w:rPr>
                <w:sz w:val="18"/>
              </w:rPr>
              <w:t>Cfa, Cfb, Csa</w:t>
            </w:r>
          </w:p>
        </w:tc>
        <w:tc>
          <w:tcPr>
            <w:tcW w:type="dxa" w:w="1134"/>
          </w:tcPr>
          <w:p>
            <w:r/>
            <w:r>
              <w:rPr>
                <w:sz w:val="18"/>
              </w:rPr>
              <w:t>0.0</w:t>
            </w:r>
          </w:p>
        </w:tc>
        <w:tc>
          <w:tcPr>
            <w:tcW w:type="dxa" w:w="4535"/>
          </w:tcPr>
          <w:p>
            <w:r/>
            <w:r>
              <w:rPr>
                <w:sz w:val="18"/>
              </w:rPr>
              <w:t>Reference (NHANES is largely temperate US)</w:t>
            </w:r>
          </w:p>
        </w:tc>
      </w:tr>
      <w:tr>
        <w:tc>
          <w:tcPr>
            <w:tcW w:type="dxa" w:w="1984"/>
            <w:shd w:val="clear" w:color="auto" w:fill="F2F6FB"/>
          </w:tcPr>
          <w:p>
            <w:r/>
            <w:r>
              <w:rPr>
                <w:b/>
                <w:sz w:val="18"/>
              </w:rPr>
              <w:t>Continental</w:t>
            </w:r>
          </w:p>
        </w:tc>
        <w:tc>
          <w:tcPr>
            <w:tcW w:type="dxa" w:w="1984"/>
            <w:shd w:val="clear" w:color="auto" w:fill="F2F6FB"/>
          </w:tcPr>
          <w:p>
            <w:r/>
            <w:r>
              <w:rPr>
                <w:sz w:val="18"/>
              </w:rPr>
              <w:t>Dfa, Dfb</w:t>
            </w:r>
          </w:p>
        </w:tc>
        <w:tc>
          <w:tcPr>
            <w:tcW w:type="dxa" w:w="1134"/>
            <w:shd w:val="clear" w:color="auto" w:fill="F2F6FB"/>
          </w:tcPr>
          <w:p>
            <w:r/>
            <w:r>
              <w:rPr>
                <w:sz w:val="18"/>
              </w:rPr>
              <w:t>−0.3</w:t>
            </w:r>
          </w:p>
        </w:tc>
        <w:tc>
          <w:tcPr>
            <w:tcW w:type="dxa" w:w="4535"/>
            <w:shd w:val="clear" w:color="auto" w:fill="F2F6FB"/>
          </w:tcPr>
          <w:p>
            <w:r/>
            <w:r>
              <w:rPr>
                <w:sz w:val="18"/>
              </w:rPr>
              <w:t>Marked seasonal variation; winter sedentarism</w:t>
            </w:r>
          </w:p>
        </w:tc>
      </w:tr>
      <w:tr>
        <w:tc>
          <w:tcPr>
            <w:tcW w:type="dxa" w:w="1984"/>
          </w:tcPr>
          <w:p>
            <w:r/>
            <w:r>
              <w:rPr>
                <w:b/>
                <w:sz w:val="18"/>
              </w:rPr>
              <w:t>Polar/cold</w:t>
            </w:r>
          </w:p>
        </w:tc>
        <w:tc>
          <w:tcPr>
            <w:tcW w:type="dxa" w:w="1984"/>
          </w:tcPr>
          <w:p>
            <w:r/>
            <w:r>
              <w:rPr>
                <w:sz w:val="18"/>
              </w:rPr>
              <w:t>Et, Dfc, Dfd</w:t>
            </w:r>
          </w:p>
        </w:tc>
        <w:tc>
          <w:tcPr>
            <w:tcW w:type="dxa" w:w="1134"/>
          </w:tcPr>
          <w:p>
            <w:r/>
            <w:r>
              <w:rPr>
                <w:sz w:val="18"/>
              </w:rPr>
              <w:t>−0.8</w:t>
            </w:r>
          </w:p>
        </w:tc>
        <w:tc>
          <w:tcPr>
            <w:tcW w:type="dxa" w:w="4535"/>
          </w:tcPr>
          <w:p>
            <w:r/>
            <w:r>
              <w:rPr>
                <w:sz w:val="18"/>
              </w:rPr>
              <w:t>Severe winter isolation; vitamin D deficit</w:t>
            </w:r>
          </w:p>
        </w:tc>
      </w:tr>
      <w:tr>
        <w:tc>
          <w:tcPr>
            <w:tcW w:type="dxa" w:w="1984"/>
            <w:shd w:val="clear" w:color="auto" w:fill="F2F6FB"/>
          </w:tcPr>
          <w:p>
            <w:r/>
            <w:r>
              <w:rPr>
                <w:b/>
                <w:sz w:val="18"/>
              </w:rPr>
              <w:t>High altitude</w:t>
            </w:r>
          </w:p>
        </w:tc>
        <w:tc>
          <w:tcPr>
            <w:tcW w:type="dxa" w:w="1984"/>
            <w:shd w:val="clear" w:color="auto" w:fill="F2F6FB"/>
          </w:tcPr>
          <w:p>
            <w:r/>
            <w:r>
              <w:rPr>
                <w:sz w:val="18"/>
              </w:rPr>
              <w:t>&gt;2500m elevation</w:t>
            </w:r>
          </w:p>
        </w:tc>
        <w:tc>
          <w:tcPr>
            <w:tcW w:type="dxa" w:w="1134"/>
            <w:shd w:val="clear" w:color="auto" w:fill="F2F6FB"/>
          </w:tcPr>
          <w:p>
            <w:r/>
            <w:r>
              <w:rPr>
                <w:sz w:val="18"/>
              </w:rPr>
              <w:t>+0.5</w:t>
            </w:r>
          </w:p>
        </w:tc>
        <w:tc>
          <w:tcPr>
            <w:tcW w:type="dxa" w:w="4535"/>
            <w:shd w:val="clear" w:color="auto" w:fill="F2F6FB"/>
          </w:tcPr>
          <w:p>
            <w:r/>
            <w:r>
              <w:rPr>
                <w:sz w:val="18"/>
              </w:rPr>
              <w:t>Chronic hypoxia, metabolic adaptation</w:t>
            </w:r>
          </w:p>
        </w:tc>
      </w:tr>
    </w:tbl>
    <w:p>
      <w:pPr>
        <w:jc w:val="both"/>
      </w:pPr>
      <w:r>
        <w:rPr>
          <w:b w:val="0"/>
          <w:i w:val="0"/>
        </w:rPr>
        <w:t>The FNC is added to the Exposome E sub-score before capping at 45. Implementation uses the public Köppen-Geiger 2017 raster (Beck et al., Sci. Data 2018) reverse-geocoded at point of care. For NHANES analysis, all subjects were assigned FNC = 0 (temperate US reference).</w:t>
      </w:r>
    </w:p>
    <w:p>
      <w:r>
        <w:br w:type="page"/>
      </w:r>
    </w:p>
    <w:p>
      <w:pPr>
        <w:keepNext/>
        <w:spacing w:before="360" w:after="160"/>
      </w:pPr>
      <w:r>
        <w:rPr>
          <w:b/>
          <w:color w:val="1F3864"/>
          <w:sz w:val="28"/>
        </w:rPr>
        <w:t>M9. Anti-Circularity Safeguards. Design Verification</w:t>
      </w:r>
    </w:p>
    <w:p>
      <w:pPr>
        <w:jc w:val="both"/>
      </w:pPr>
      <w:r>
        <w:rPr>
          <w:b w:val="0"/>
          <w:i w:val="0"/>
        </w:rPr>
        <w:t>Three pre-specified safeguards prevent spurious self-validation of the GRS in the simulation analysis (manuscript §2.7):</w:t>
      </w:r>
    </w:p>
    <w:p>
      <w:pPr>
        <w:keepNext/>
        <w:spacing w:before="240" w:after="120"/>
      </w:pPr>
      <w:r>
        <w:rPr>
          <w:b/>
          <w:color w:val="2E5C8A"/>
          <w:sz w:val="24"/>
        </w:rPr>
        <w:t>M9.1, Latent factor injection (25% independent noise)</w:t>
      </w:r>
    </w:p>
    <w:tbl>
      <w:tblPr>
        <w:tblW w:type="auto" w:w="0"/>
        <w:tblLayout w:type="fixed"/>
        <w:tblLook w:firstColumn="1" w:firstRow="1" w:lastColumn="0" w:lastRow="0" w:noHBand="0" w:noVBand="1" w:val="04A0"/>
      </w:tblPr>
      <w:tblGrid>
        <w:gridCol w:w="9972"/>
      </w:tblGrid>
      <w:tr>
        <w:tc>
          <w:tcPr>
            <w:tcW w:type="dxa" w:w="9638"/>
            <w:shd w:val="clear" w:color="auto" w:fill="F5F5F5"/>
          </w:tcPr>
          <w:p>
            <w:pPr>
              <w:spacing w:after="0"/>
            </w:pPr>
            <w:r/>
            <w:r>
              <w:rPr>
                <w:rFonts w:ascii="Courier New" w:hAnsi="Courier New"/>
                <w:sz w:val="18"/>
              </w:rPr>
              <w:t># For each subject i and Monte Carlo replicate r:</w:t>
            </w:r>
          </w:p>
          <w:p>
            <w:pPr>
              <w:spacing w:after="0"/>
            </w:pPr>
            <w:r>
              <w:rPr>
                <w:rFonts w:ascii="Courier New" w:hAnsi="Courier New"/>
                <w:sz w:val="18"/>
              </w:rPr>
              <w:t>for i in subjects:</w:t>
            </w:r>
          </w:p>
          <w:p>
            <w:pPr>
              <w:spacing w:after="0"/>
            </w:pPr>
            <w:r>
              <w:rPr>
                <w:rFonts w:ascii="Courier New" w:hAnsi="Courier New"/>
                <w:sz w:val="18"/>
              </w:rPr>
              <w:t xml:space="preserve">    for r in 1..1000:</w:t>
            </w:r>
          </w:p>
          <w:p>
            <w:pPr>
              <w:spacing w:after="0"/>
            </w:pPr>
            <w:r>
              <w:rPr>
                <w:rFonts w:ascii="Courier New" w:hAnsi="Courier New"/>
                <w:sz w:val="18"/>
              </w:rPr>
              <w:t xml:space="preserve">        latent_noise = numpy.random.normal(0, 0.25, size=1)</w:t>
            </w:r>
          </w:p>
          <w:p>
            <w:pPr>
              <w:spacing w:after="0"/>
            </w:pPr>
            <w:r>
              <w:rPr>
                <w:rFonts w:ascii="Courier New" w:hAnsi="Courier New"/>
                <w:sz w:val="18"/>
              </w:rPr>
              <w:t xml:space="preserve">        simulated_TBWL[i, r] = TBWL_model(GRS_components[i]) + latent_noise</w:t>
            </w:r>
          </w:p>
          <w:p>
            <w:pPr>
              <w:spacing w:after="0"/>
            </w:pPr>
            <w:r>
              <w:rPr>
                <w:rFonts w:ascii="Courier New" w:hAnsi="Courier New"/>
                <w:sz w:val="18"/>
              </w:rPr>
              <w:t xml:space="preserve">        # The noise is INDEPENDENT of GRS, cannot be exploited by the score</w:t>
            </w:r>
          </w:p>
        </w:tc>
      </w:tr>
    </w:tbl>
    <w:p>
      <w:pPr>
        <w:keepNext/>
        <w:spacing w:before="240" w:after="120"/>
      </w:pPr>
      <w:r>
        <w:rPr>
          <w:b/>
          <w:color w:val="2E5C8A"/>
          <w:sz w:val="24"/>
        </w:rPr>
        <w:t>M9.2, Raw biomarker modifiers</w:t>
      </w:r>
    </w:p>
    <w:p>
      <w:pPr>
        <w:jc w:val="both"/>
      </w:pPr>
      <w:r>
        <w:rPr>
          <w:b w:val="0"/>
          <w:i w:val="0"/>
        </w:rPr>
        <w:t>The simulation model uses RAW clinical values (HOMA-IR, HbA1c, BMI) as TBWL modifiers, NEVER the GRS axis scores themselves. This decouples the GRS construction from the outcome generator and prevents the GRS from being validated against a proxy of itself.</w:t>
      </w:r>
    </w:p>
    <w:p>
      <w:pPr>
        <w:keepNext/>
        <w:spacing w:before="240" w:after="120"/>
      </w:pPr>
      <w:r>
        <w:rPr>
          <w:b/>
          <w:color w:val="2E5C8A"/>
          <w:sz w:val="24"/>
        </w:rPr>
        <w:t>M9.3, Capped coefficients</w:t>
      </w:r>
    </w:p>
    <w:tbl>
      <w:tblPr>
        <w:tblW w:type="auto" w:w="0"/>
        <w:tblLayout w:type="fixed"/>
        <w:tblLook w:firstColumn="1" w:firstRow="1" w:lastColumn="0" w:lastRow="0" w:noHBand="0" w:noVBand="1" w:val="04A0"/>
      </w:tblPr>
      <w:tblGrid>
        <w:gridCol w:w="9972"/>
      </w:tblGrid>
      <w:tr>
        <w:tc>
          <w:tcPr>
            <w:tcW w:type="dxa" w:w="9638"/>
            <w:shd w:val="clear" w:color="auto" w:fill="F5F5F5"/>
          </w:tcPr>
          <w:p>
            <w:pPr>
              <w:spacing w:after="0"/>
            </w:pPr>
            <w:r/>
            <w:r>
              <w:rPr>
                <w:rFonts w:ascii="Courier New" w:hAnsi="Courier New"/>
                <w:sz w:val="18"/>
              </w:rPr>
              <w:t># In the TBWL outcome model, biomarker coefficients are bounded:</w:t>
            </w:r>
          </w:p>
          <w:p>
            <w:pPr>
              <w:spacing w:after="0"/>
            </w:pPr>
            <w:r>
              <w:rPr>
                <w:rFonts w:ascii="Courier New" w:hAnsi="Courier New"/>
                <w:sz w:val="18"/>
              </w:rPr>
              <w:t># theoretical_max_coefficient[X] = beta_published[X] * 1.2</w:t>
            </w:r>
          </w:p>
          <w:p>
            <w:pPr>
              <w:spacing w:after="0"/>
            </w:pPr>
            <w:r>
              <w:rPr>
                <w:rFonts w:ascii="Courier New" w:hAnsi="Courier New"/>
                <w:sz w:val="18"/>
              </w:rPr>
              <w:t># applied_coefficient[X] = min(beta_designed[X], theoretical_max_coefficient[X])</w:t>
            </w:r>
          </w:p>
          <w:p>
            <w:pPr>
              <w:spacing w:after="0"/>
            </w:pPr>
            <w:r>
              <w:rPr>
                <w:rFonts w:ascii="Courier New" w:hAnsi="Courier New"/>
                <w:sz w:val="18"/>
              </w:rPr>
              <w:t># This prevents the simulation from exhibiting AUC values that exceed</w:t>
            </w:r>
          </w:p>
          <w:p>
            <w:pPr>
              <w:spacing w:after="0"/>
            </w:pPr>
            <w:r>
              <w:rPr>
                <w:rFonts w:ascii="Courier New" w:hAnsi="Courier New"/>
                <w:sz w:val="18"/>
              </w:rPr>
              <w:t># what published cohort studies have reported.</w:t>
            </w:r>
          </w:p>
        </w:tc>
      </w:tr>
    </w:tbl>
    <w:p>
      <w:pPr>
        <w:keepNext/>
        <w:spacing w:before="240" w:after="120"/>
      </w:pPr>
      <w:r>
        <w:rPr>
          <w:b/>
          <w:color w:val="2E5C8A"/>
          <w:sz w:val="24"/>
        </w:rPr>
        <w:t>M9.4, Verification of GRS Range (−3 to +6)</w:t>
      </w:r>
    </w:p>
    <w:p>
      <w:pPr>
        <w:jc w:val="both"/>
      </w:pPr>
      <w:r>
        <w:rPr>
          <w:b w:val="0"/>
          <w:i w:val="0"/>
        </w:rPr>
        <w:t xml:space="preserve">Empirical verification of the GRS range on the 12,733 NHANES GLP-1-eligible subjects (commit aa638a7, bmn_btm_grs_simulation.py). The composite is computed as posFactor − negFactor then clipped to [−3, +6] (§M5.8). Because NHANES does not capture the variables required to populate the Psychobehavioural axis (PSS-10, BES) nor the Iatrogenic axis (exhaustive drug history), the pipeline sets psychoScore = 0 (line 318) and iatroScore = 0 (line 322) for all NHANES subjects. The empirical range observed in this cohort is therefore narrower than the absolute theoretical bounds of the assembly formula, as detailed below:</w:t>
      </w:r>
    </w:p>
    <w:tbl>
      <w:tblPr>
        <w:tblW w:type="auto" w:w="0"/>
        <w:jc w:val="center"/>
        <w:tblLayout w:type="fixed"/>
        <w:tblLook w:firstColumn="1" w:firstRow="1" w:lastColumn="0" w:lastRow="0" w:noHBand="0" w:noVBand="1" w:val="04A0"/>
      </w:tblPr>
      <w:tblGrid>
        <w:gridCol w:w="3324"/>
        <w:gridCol w:w="3324"/>
        <w:gridCol w:w="3324"/>
      </w:tblGrid>
      <w:tr>
        <w:tc>
          <w:tcPr>
            <w:tcW w:type="dxa" w:w="2835"/>
            <w:shd w:val="clear" w:color="auto" w:fill="1F3864"/>
          </w:tcPr>
          <w:p>
            <w:pPr>
              <w:jc w:val="center"/>
            </w:pPr>
            <w:r/>
            <w:r>
              <w:rPr>
                <w:b/>
                <w:color w:val="FFFFFF"/>
                <w:sz w:val="18"/>
              </w:rPr>
              <w:t>Metric</w:t>
            </w:r>
          </w:p>
        </w:tc>
        <w:tc>
          <w:tcPr>
            <w:tcW w:type="dxa" w:w="1701"/>
            <w:shd w:val="clear" w:color="auto" w:fill="1F3864"/>
          </w:tcPr>
          <w:p>
            <w:pPr>
              <w:jc w:val="center"/>
            </w:pPr>
            <w:r/>
            <w:r>
              <w:rPr>
                <w:b/>
                <w:color w:val="FFFFFF"/>
                <w:sz w:val="18"/>
              </w:rPr>
              <w:t>Value</w:t>
            </w:r>
          </w:p>
        </w:tc>
        <w:tc>
          <w:tcPr>
            <w:tcW w:type="dxa" w:w="5102"/>
            <w:shd w:val="clear" w:color="auto" w:fill="1F3864"/>
          </w:tcPr>
          <w:p>
            <w:pPr>
              <w:jc w:val="center"/>
            </w:pPr>
            <w:r/>
            <w:r>
              <w:rPr>
                <w:b/>
                <w:color w:val="FFFFFF"/>
                <w:sz w:val="18"/>
              </w:rPr>
              <w:t>Notes</w:t>
            </w:r>
          </w:p>
        </w:tc>
      </w:tr>
      <w:tr>
        <w:tc>
          <w:tcPr>
            <w:tcW w:type="dxa" w:w="2835"/>
          </w:tcPr>
          <w:p>
            <w:r/>
            <w:r>
              <w:rPr>
                <w:b/>
                <w:sz w:val="18"/>
              </w:rPr>
              <w:t>Empirical 99th percentile (ceiling) — NHANES</w:t>
            </w:r>
          </w:p>
        </w:tc>
        <w:tc>
          <w:tcPr>
            <w:tcW w:type="dxa" w:w="1701"/>
          </w:tcPr>
          <w:p>
            <w:r>
              <w:t>+2.32</w:t>
            </w:r>
            <w:r>
              <w:rPr>
                <w:sz w:val="18"/>
              </w:rPr>
            </w:r>
          </w:p>
        </w:tc>
        <w:tc>
          <w:tcPr>
            <w:tcW w:type="dxa" w:w="5102"/>
          </w:tcPr>
          <w:p>
            <w:r/>
            <w:r>
              <w:rPr>
                <w:sz w:val="18"/>
              </w:rPr>
              <w:t>Direct extraction np.percentile(grs, 99) from results_btm_simulation.json. Cannot exceed empirical max +5.90 (see row below).</w:t>
            </w:r>
          </w:p>
        </w:tc>
      </w:tr>
      <w:tr>
        <w:tc>
          <w:tcPr>
            <w:tcW w:type="dxa" w:w="2835"/>
            <w:shd w:val="clear" w:color="auto" w:fill="F2F6FB"/>
          </w:tcPr>
          <w:p>
            <w:r/>
            <w:r>
              <w:rPr>
                <w:b/>
                <w:sz w:val="18"/>
              </w:rPr>
              <w:t>Empirical 1st percentile (floor) — NHANES</w:t>
            </w:r>
          </w:p>
        </w:tc>
        <w:tc>
          <w:tcPr>
            <w:tcW w:type="dxa" w:w="1701"/>
            <w:shd w:val="clear" w:color="auto" w:fill="F2F6FB"/>
          </w:tcPr>
          <w:p>
            <w:r>
              <w:t>−0.23</w:t>
            </w:r>
            <w:r>
              <w:rPr>
                <w:sz w:val="18"/>
              </w:rPr>
            </w:r>
          </w:p>
        </w:tc>
        <w:tc>
          <w:tcPr>
            <w:tcW w:type="dxa" w:w="5102"/>
            <w:shd w:val="clear" w:color="auto" w:fill="F2F6FB"/>
          </w:tcPr>
          <w:p>
            <w:r/>
            <w:r>
              <w:rPr>
                <w:sz w:val="18"/>
              </w:rPr>
              <w:t>Direct extraction np.percentile(grs, 1). Cannot fall below empirical min −1.95 (see row below); cannot fall below clip floor −3 in any case.</w:t>
            </w:r>
          </w:p>
        </w:tc>
      </w:tr>
      <w:tr>
        <w:tc>
          <w:tcPr>
            <w:tcW w:type="dxa" w:w="2835"/>
          </w:tcPr>
          <w:p>
            <w:r/>
            <w:r>
              <w:rPr>
                <w:b/>
                <w:sz w:val="18"/>
              </w:rPr>
              <w:t>Empirical maximum (favourable) — NHANES</w:t>
            </w:r>
          </w:p>
        </w:tc>
        <w:tc>
          <w:tcPr>
            <w:tcW w:type="dxa" w:w="1701"/>
          </w:tcPr>
          <w:p>
            <w:r/>
            <w:r>
              <w:rPr>
                <w:sz w:val="18"/>
              </w:rPr>
              <w:t>+5.90</w:t>
            </w:r>
          </w:p>
        </w:tc>
        <w:tc>
          <w:tcPr>
            <w:tcW w:type="dxa" w:w="5102"/>
          </w:tcPr>
          <w:p>
            <w:r/>
            <w:r>
              <w:rPr>
                <w:sz w:val="18"/>
              </w:rPr>
              <w:t>posFactor maximum: irScore=10·0.30 + inflamScore=10·0.12 + demoBonus=1.3 + betaCellAxis=5·0.08 = +5.90; negFactor minimum = 0 (no NHANES subject combines a negative betaCellAxis with maximum positive contributors simultaneously)</w:t>
            </w:r>
          </w:p>
        </w:tc>
      </w:tr>
      <w:tr>
        <w:tc>
          <w:tcPr>
            <w:tcW w:type="dxa" w:w="2835"/>
            <w:shd w:val="clear" w:color="auto" w:fill="F2F6FB"/>
          </w:tcPr>
          <w:p>
            <w:r/>
            <w:r>
              <w:rPr>
                <w:b/>
                <w:sz w:val="18"/>
              </w:rPr>
              <w:t>Empirical minimum (unfavourable) — NHANES</w:t>
            </w:r>
          </w:p>
        </w:tc>
        <w:tc>
          <w:tcPr>
            <w:tcW w:type="dxa" w:w="1701"/>
            <w:shd w:val="clear" w:color="auto" w:fill="F2F6FB"/>
          </w:tcPr>
          <w:p>
            <w:r/>
            <w:r>
              <w:rPr>
                <w:sz w:val="18"/>
              </w:rPr>
              <w:t>−1.95</w:t>
            </w:r>
          </w:p>
        </w:tc>
        <w:tc>
          <w:tcPr>
            <w:tcW w:type="dxa" w:w="5102"/>
            <w:shd w:val="clear" w:color="auto" w:fill="F2F6FB"/>
          </w:tcPr>
          <w:p>
            <w:r/>
            <w:r>
              <w:rPr>
                <w:sz w:val="18"/>
              </w:rPr>
              <w:t>negFactor maximum on NHANES: chronScore=10·0.18 + psychoScore=0·0.12 + iatroScore=0·0.15 + |betaCellAxis|=3·0.05 = 1.95; posFactor minimum = 0; therefore worst-case grs = 0 − 1.95 = −1.95. The clip floor −3 is never binding on NHANES because psychoScore and iatroScore are structurally zero in this cohort.</w:t>
            </w:r>
          </w:p>
        </w:tc>
      </w:tr>
      <w:tr>
        <w:tc>
          <w:tcPr>
            <w:tcW w:type="dxa" w:w="2835"/>
          </w:tcPr>
          <w:p>
            <w:r/>
            <w:r>
              <w:rPr>
                <w:b/>
                <w:sz w:val="18"/>
              </w:rPr>
              <w:t>Operational range announced</w:t>
            </w:r>
          </w:p>
        </w:tc>
        <w:tc>
          <w:tcPr>
            <w:tcW w:type="dxa" w:w="1701"/>
          </w:tcPr>
          <w:p>
            <w:r/>
            <w:r>
              <w:rPr>
                <w:sz w:val="18"/>
              </w:rPr>
              <w:t>−3 to +6</w:t>
            </w:r>
          </w:p>
        </w:tc>
        <w:tc>
          <w:tcPr>
            <w:tcW w:type="dxa" w:w="5102"/>
          </w:tcPr>
          <w:p>
            <w:r/>
            <w:r>
              <w:rPr>
                <w:sz w:val="18"/>
              </w:rPr>
              <w:t>Hard clip [−3, +6] applied in code (line 346) as a final guard. The clip floor −3 and ceiling +6 are NOT reached on NHANES (true empirical range is approximately [−1.95, +5.90] given the analytical decomposition above). The −3 to +6 range is retained for clinical reporting because the deployed JavaScript engine (score-bmn-v3.js) uses a different assembly with broader theoretical bounds; the rounded interval covers both implementations.</w:t>
            </w:r>
          </w:p>
        </w:tc>
      </w:tr>
    </w:tbl>
    <w:p>
      <w:pPr>
        <w:spacing w:before="400"/>
        <w:jc w:val="center"/>
        <w:pBdr>
          <w:top w:val="single" w:sz="4" w:color="1F3864"/>
        </w:pBdr>
      </w:pPr>
    </w:p>
    <w:p>
      <w:pPr>
        <w:jc w:val="center"/>
      </w:pPr>
      <w:r>
        <w:rPr>
          <w:i/>
          <w:color w:val="555555"/>
          <w:sz w:val="20"/>
        </w:rPr>
        <w:t>End of Supplementary Methods</w:t>
      </w:r>
    </w:p>
    <w:p>
      <w:pPr>
        <w:jc w:val="center"/>
      </w:pPr>
      <w:r>
        <w:rPr>
          <w:i/>
          <w:color w:val="888888"/>
          <w:sz w:val="18"/>
        </w:rPr>
        <w:t>COMPASS · Open source MIT licence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