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 w:after="50"/>
      </w:pPr>
      <w:r>
        <w:t xml:space="preserve"/>
      </w:r>
    </w:p>
    <w:p>
      <w:pPr>
        <w:spacing w:before="50" w:after="50"/>
      </w:pPr>
      <w:r>
        <w:t xml:space="preserve"/>
      </w:r>
    </w:p>
    <w:p>
      <w:pPr>
        <w:spacing w:before="50" w:after="50"/>
      </w:pPr>
      <w:r>
        <w:t xml:space="preserve"/>
      </w:r>
    </w:p>
    <w:p>
      <w:pPr>
        <w:spacing w:before="0" w:after="50"/>
        <w:jc w:val="center"/>
      </w:pPr>
      <w:r>
        <w:rPr>
          <w:rFonts w:ascii="Arial" w:cs="Arial" w:eastAsia="Arial" w:hAnsi="Arial"/>
          <w:b/>
          <w:bCs/>
          <w:caps/>
          <w:color w:val="2E75B6"/>
          <w:sz w:val="22"/>
          <w:szCs w:val="22"/>
        </w:rPr>
        <w:t xml:space="preserve">DOCUMENTATION ALGORITHMIQUE COMPLÈTE — VERSION 2.0</w:t>
      </w:r>
    </w:p>
    <w:p>
      <w:pPr>
        <w:pBdr>
          <w:bottom w:val="single" w:color="1B3A6B" w:sz="8" w:space="10"/>
        </w:pBdr>
        <w:spacing w:before="10" w:after="30"/>
        <w:jc w:val="center"/>
      </w:pPr>
      <w:r>
        <w:rPr>
          <w:rFonts w:ascii="Arial" w:cs="Arial" w:eastAsia="Arial" w:hAnsi="Arial"/>
          <w:i/>
          <w:iCs/>
          <w:color w:val="777777"/>
          <w:sz w:val="20"/>
          <w:szCs w:val="20"/>
        </w:rPr>
        <w:t xml:space="preserve">Cible : BMJ / JAMA  —  Grade 1a  —  Architecture ABCKO inspirée du modèle CLEO (Score BSD v4.9 cardiovasculaire)</w:t>
      </w:r>
    </w:p>
    <w:p>
      <w:pPr>
        <w:spacing w:before="50" w:after="50"/>
      </w:pPr>
      <w:r>
        <w:t xml:space="preserve"/>
      </w:r>
    </w:p>
    <w:p>
      <w:pPr>
        <w:spacing w:before="50" w:after="15"/>
        <w:jc w:val="center"/>
      </w:pPr>
      <w:r>
        <w:rPr>
          <w:rFonts w:ascii="Arial" w:cs="Arial" w:eastAsia="Arial" w:hAnsi="Arial"/>
          <w:b/>
          <w:bCs/>
          <w:color w:val="1B3A6B"/>
          <w:sz w:val="80"/>
          <w:szCs w:val="80"/>
        </w:rPr>
        <w:t xml:space="preserve">SCORE BMN</w:t>
      </w:r>
    </w:p>
    <w:p>
      <w:pPr>
        <w:spacing w:before="5" w:after="15"/>
        <w:jc w:val="center"/>
      </w:pPr>
      <w:r>
        <w:rPr>
          <w:rFonts w:ascii="Arial" w:cs="Arial" w:eastAsia="Arial" w:hAnsi="Arial"/>
          <w:i/>
          <w:iCs/>
          <w:color w:val="2E75B6"/>
          <w:sz w:val="38"/>
          <w:szCs w:val="38"/>
        </w:rPr>
        <w:t xml:space="preserve">Bach — Manos — Noël</w:t>
      </w:r>
    </w:p>
    <w:p>
      <w:pPr>
        <w:spacing w:before="15" w:after="40"/>
        <w:jc w:val="center"/>
      </w:pPr>
      <w:r>
        <w:rPr>
          <w:rFonts w:ascii="Arial" w:cs="Arial" w:eastAsia="Arial" w:hAnsi="Arial"/>
          <w:color w:val="444444"/>
          <w:sz w:val="26"/>
          <w:szCs w:val="26"/>
        </w:rPr>
        <w:t xml:space="preserve">Score Prédictif, Stratificateur et Thérapeutique de l'Obésité</w:t>
      </w:r>
    </w:p>
    <w:p>
      <w:pPr>
        <w:spacing w:before="50" w:after="50"/>
      </w:pPr>
      <w:r>
        <w:t xml:space="preserve"/>
      </w:r>
    </w:p>
    <w:p>
      <w:pPr>
        <w:spacing w:before="25" w:after="12"/>
        <w:jc w:val="center"/>
      </w:pPr>
      <w:r>
        <w:rPr>
          <w:rFonts w:ascii="Arial" w:cs="Arial" w:eastAsia="Arial" w:hAnsi="Arial"/>
          <w:b/>
          <w:bCs/>
          <w:color w:val="C96A00"/>
          <w:sz w:val="22"/>
          <w:szCs w:val="22"/>
        </w:rPr>
        <w:t xml:space="preserve">Version 2.0 — Nouveau module BMN-K : Comorbidités et Phénotypes Métaboliques</w:t>
      </w:r>
    </w:p>
    <w:p>
      <w:pPr>
        <w:spacing w:before="8" w:after="8"/>
        <w:jc w:val="center"/>
      </w:pPr>
      <w:r>
        <w:rPr>
          <w:rFonts w:ascii="Arial" w:cs="Arial" w:eastAsia="Arial" w:hAnsi="Arial"/>
          <w:color w:val="1A1A1A"/>
          <w:sz w:val="21"/>
          <w:szCs w:val="21"/>
        </w:rPr>
        <w:t xml:space="preserve">4 modules · 25 indicateurs · 11 comorbidités · 15 biomarqueurs · 9 groupes ethniques × 8 multiplicateurs</w:t>
      </w:r>
    </w:p>
    <w:p>
      <w:pPr>
        <w:spacing w:before="8" w:after="30"/>
        <w:jc w:val="center"/>
      </w:pPr>
      <w:r>
        <w:rPr>
          <w:rFonts w:ascii="Arial" w:cs="Arial" w:eastAsia="Arial" w:hAnsi="Arial"/>
          <w:i/>
          <w:iCs/>
          <w:color w:val="777777"/>
          <w:sz w:val="20"/>
          <w:szCs w:val="20"/>
        </w:rPr>
        <w:t xml:space="preserve">Pondération dynamique tri-source · Rétrovalidation biologique · Comorbidity Floor · Markov 6 états · CTI · GRI</w:t>
      </w:r>
    </w:p>
    <w:p>
      <w:pPr>
        <w:spacing w:before="50" w:after="50"/>
      </w:pPr>
      <w:r>
        <w:t xml:space="preserve"/>
      </w:r>
    </w:p>
    <w:p>
      <w:pPr>
        <w:spacing w:before="50" w:after="50"/>
      </w:pPr>
      <w:r>
        <w:t xml:space="preserve"/>
      </w:r>
    </w:p>
    <w:p>
      <w:pPr>
        <w:spacing w:before="8" w:after="6"/>
        <w:jc w:val="center"/>
      </w:pPr>
      <w:r>
        <w:rPr>
          <w:rFonts w:ascii="Arial" w:cs="Arial" w:eastAsia="Arial" w:hAnsi="Arial"/>
          <w:b/>
          <w:bCs/>
          <w:color w:val="1A1A1A"/>
          <w:sz w:val="24"/>
          <w:szCs w:val="24"/>
        </w:rPr>
        <w:t xml:space="preserve">Dr Patrick Noël, MD, FACS, FASMBS, FIFSO</w:t>
      </w:r>
    </w:p>
    <w:p>
      <w:pPr>
        <w:spacing w:before="6" w:after="6"/>
        <w:jc w:val="center"/>
      </w:pPr>
      <w:r>
        <w:rPr>
          <w:rFonts w:ascii="Arial" w:cs="Arial" w:eastAsia="Arial" w:hAnsi="Arial"/>
          <w:color w:val="777777"/>
          <w:sz w:val="20"/>
          <w:szCs w:val="20"/>
        </w:rPr>
        <w:t xml:space="preserve">Emirates Specialty Hospital, Dubaï  |  ELSAN Clinique Bouchard, Marseille  |  Qatar</w:t>
      </w:r>
    </w:p>
    <w:p>
      <w:pPr>
        <w:spacing w:before="6" w:after="25"/>
        <w:jc w:val="center"/>
      </w:pPr>
      <w:r>
        <w:rPr>
          <w:rFonts w:ascii="Arial" w:cs="Arial" w:eastAsia="Arial" w:hAnsi="Arial"/>
          <w:color w:val="777777"/>
          <w:sz w:val="20"/>
          <w:szCs w:val="20"/>
        </w:rPr>
        <w:t xml:space="preserve">Dr [Manos] · Dr [Bach]  — co-auteurs</w:t>
      </w:r>
    </w:p>
    <w:p>
      <w:pPr>
        <w:spacing w:before="15" w:after="15"/>
        <w:jc w:val="center"/>
      </w:pPr>
      <w:r>
        <w:rPr>
          <w:rFonts w:ascii="Arial" w:cs="Arial" w:eastAsia="Arial" w:hAnsi="Arial"/>
          <w:i/>
          <w:iCs/>
          <w:color w:val="777777"/>
          <w:sz w:val="20"/>
          <w:szCs w:val="20"/>
        </w:rPr>
        <w:t xml:space="preserve">Version 2.0 — Février 2026  |  Pré-soumission BMJ/JAMA — Document Confidentiel</w:t>
      </w:r>
    </w:p>
    <w:p>
      <w:r>
        <w:br w:type="page"/>
      </w:r>
    </w:p>
    <w:p>
      <w:pPr>
        <w:pStyle w:val="Heading1"/>
        <w:pageBreakBefore/>
        <w:spacing w:before="400" w:after="200"/>
      </w:pPr>
      <w:r>
        <w:rPr>
          <w:rFonts w:ascii="Arial" w:cs="Arial" w:eastAsia="Arial" w:hAnsi="Arial"/>
          <w:b/>
          <w:bCs/>
          <w:color w:val="1B3A6B"/>
          <w:sz w:val="34"/>
          <w:szCs w:val="34"/>
        </w:rPr>
        <w:t xml:space="preserve">Résumé Exécutif</w:t>
      </w:r>
    </w:p>
    <w:p>
      <w:pPr>
        <w:pStyle w:val="Heading3"/>
        <w:spacing w:before="180" w:after="90"/>
      </w:pPr>
      <w:r>
        <w:rPr>
          <w:rFonts w:ascii="Arial" w:cs="Arial" w:eastAsia="Arial" w:hAnsi="Arial"/>
          <w:b/>
          <w:bCs/>
          <w:color w:val="1B3A6B"/>
          <w:sz w:val="23"/>
          <w:szCs w:val="23"/>
        </w:rPr>
        <w:t xml:space="preserve">Contexte et Rupture v2.0</w:t>
      </w:r>
    </w:p>
    <w:p>
      <w:pPr>
        <w:spacing w:before="80" w:after="80"/>
        <w:jc w:val="both"/>
      </w:pPr>
      <w:r>
        <w:rPr>
          <w:rFonts w:ascii="Arial" w:cs="Arial" w:eastAsia="Arial" w:hAnsi="Arial"/>
          <w:color w:val="1A1A1A"/>
          <w:sz w:val="22"/>
          <w:szCs w:val="22"/>
        </w:rPr>
        <w:t xml:space="preserve">Le Score BMN v1.0 proposait une architecture en 3 temps (clinique, biologique, thérapeutique) avec 25 indicateurs dérivés méta-analytiquement. La version 2.0 ajoute un module fondamental absent de la première version : le module BMN-K dédié aux comorbidités et phénotypes métaboliques établis. Cette addition s'inspire directement du modèle CLEO du Score BSD cardiovasculaire (v4.9), qui intègre les pathologies établies (HTA, diabète, ATCD CV) comme composantes actives du score avec des Garde-Fous dynamiques garantissant la non-sous-estimation.</w:t>
      </w:r>
    </w:p>
    <w:p>
      <w:pPr>
        <w:spacing w:before="50" w:after="50"/>
      </w:pPr>
      <w:r>
        <w:t xml:space="preserve"/>
      </w:r>
    </w:p>
    <w:p>
      <w:pPr>
        <w:pStyle w:val="Heading3"/>
        <w:spacing w:before="180" w:after="90"/>
      </w:pPr>
      <w:r>
        <w:rPr>
          <w:rFonts w:ascii="Arial" w:cs="Arial" w:eastAsia="Arial" w:hAnsi="Arial"/>
          <w:b/>
          <w:bCs/>
          <w:color w:val="1B3A6B"/>
          <w:sz w:val="23"/>
          <w:szCs w:val="23"/>
        </w:rPr>
        <w:t xml:space="preserve">Nouveautés Critiques v2.0</w:t>
      </w:r>
    </w:p>
    <w:p>
      <w:pPr>
        <w:pStyle w:val="ListParagraph"/>
        <w:numPr>
          <w:ilvl w:val="0"/>
          <w:numId w:val="2"/>
        </w:numPr>
        <w:spacing w:before="45" w:after="45"/>
      </w:pPr>
      <w:r>
        <w:rPr>
          <w:rFonts w:ascii="Arial" w:cs="Arial" w:eastAsia="Arial" w:hAnsi="Arial"/>
          <w:b/>
          <w:bCs/>
          <w:color w:val="1A1A1A"/>
          <w:sz w:val="22"/>
          <w:szCs w:val="22"/>
        </w:rPr>
        <w:t xml:space="preserve">Module BMN-K : 11 comorbidités (SOPK, SAOS, NAFLD, HTA, DT2, hypothyroïdie, MetS, MONW, pré-diabète, corticothérapie, dépression traitée) avec OR/HR poolés, impact CTI/GRI, et table de risque complications chiffrées (DT2 à 10 ans, CV, HTA).</w:t>
      </w:r>
    </w:p>
    <w:p>
      <w:pPr>
        <w:pStyle w:val="ListParagraph"/>
        <w:numPr>
          <w:ilvl w:val="0"/>
          <w:numId w:val="2"/>
        </w:numPr>
        <w:spacing w:before="45" w:after="45"/>
      </w:pPr>
      <w:r>
        <w:rPr>
          <w:rFonts w:ascii="Arial" w:cs="Arial" w:eastAsia="Arial" w:hAnsi="Arial"/>
          <w:b/>
          <w:bCs/>
          <w:color w:val="1A1A1A"/>
          <w:sz w:val="22"/>
          <w:szCs w:val="22"/>
        </w:rPr>
        <w:t xml:space="preserve">Comorbidity Floor : garantit qu'un patient avec DT2 + SOPK + NAFLD ne soit jamais classifié FAIBLE, même si BMN-C est rassurant. Analogue au Garde-Fou du BSD.</w:t>
      </w:r>
    </w:p>
    <w:p>
      <w:pPr>
        <w:pStyle w:val="ListParagraph"/>
        <w:numPr>
          <w:ilvl w:val="0"/>
          <w:numId w:val="2"/>
        </w:numPr>
        <w:spacing w:before="45" w:after="45"/>
      </w:pPr>
      <w:r>
        <w:rPr>
          <w:rFonts w:ascii="Arial" w:cs="Arial" w:eastAsia="Arial" w:hAnsi="Arial"/>
          <w:b/>
          <w:bCs/>
          <w:color w:val="1A1A1A"/>
          <w:sz w:val="22"/>
          <w:szCs w:val="22"/>
        </w:rPr>
        <w:t xml:space="preserve">Pondération dynamique tri-source (Bio / Clinique / Comorbidités) avec mécanisme anti-sous-estimation.</w:t>
      </w:r>
    </w:p>
    <w:p>
      <w:pPr>
        <w:pStyle w:val="ListParagraph"/>
        <w:numPr>
          <w:ilvl w:val="0"/>
          <w:numId w:val="2"/>
        </w:numPr>
        <w:spacing w:before="45" w:after="45"/>
      </w:pPr>
      <w:r>
        <w:rPr>
          <w:rFonts w:ascii="Arial" w:cs="Arial" w:eastAsia="Arial" w:hAnsi="Arial"/>
          <w:b/>
          <w:bCs/>
          <w:color w:val="1A1A1A"/>
          <w:sz w:val="22"/>
          <w:szCs w:val="22"/>
        </w:rPr>
        <w:t xml:space="preserve">Rétrovalidation biologique : 6 règles qui corrigent les incohérences déclaratives (HOMA-IR nié, DT2 méconnu, IR occulte, stéatose silencieuse, alcool caché, triade IR).</w:t>
      </w:r>
    </w:p>
    <w:p>
      <w:pPr>
        <w:pStyle w:val="ListParagraph"/>
        <w:numPr>
          <w:ilvl w:val="0"/>
          <w:numId w:val="2"/>
        </w:numPr>
        <w:spacing w:before="45" w:after="45"/>
      </w:pPr>
      <w:r>
        <w:rPr>
          <w:rFonts w:ascii="Arial" w:cs="Arial" w:eastAsia="Arial" w:hAnsi="Arial"/>
          <w:b/>
          <w:bCs/>
          <w:color w:val="1A1A1A"/>
          <w:sz w:val="22"/>
          <w:szCs w:val="22"/>
        </w:rPr>
        <w:t xml:space="preserve">Table risques de complications : probabilités DT2 à 10 ans + RR cardiovasculaires et HTA par profil de comorbidité.</w:t>
      </w:r>
    </w:p>
    <w:p>
      <w:pPr>
        <w:pStyle w:val="ListParagraph"/>
        <w:numPr>
          <w:ilvl w:val="0"/>
          <w:numId w:val="2"/>
        </w:numPr>
        <w:spacing w:before="45" w:after="45"/>
      </w:pPr>
      <w:r>
        <w:rPr>
          <w:rFonts w:ascii="Arial" w:cs="Arial" w:eastAsia="Arial" w:hAnsi="Arial"/>
          <w:b/>
          <w:bCs/>
          <w:color w:val="1A1A1A"/>
          <w:sz w:val="22"/>
          <w:szCs w:val="22"/>
        </w:rPr>
        <w:t xml:space="preserve">9 groupes ethniques × 8 multiplicateurs incluant tous les groupes mauriciens.</w:t>
      </w:r>
    </w:p>
    <w:p>
      <w:pPr>
        <w:spacing w:before="50" w:after="50"/>
      </w:pPr>
      <w:r>
        <w:t xml:space="preserve"/>
      </w:r>
    </w:p>
    <w:p>
      <w:pPr>
        <w:pStyle w:val="Heading3"/>
        <w:spacing w:before="180" w:after="90"/>
      </w:pPr>
      <w:r>
        <w:rPr>
          <w:rFonts w:ascii="Arial" w:cs="Arial" w:eastAsia="Arial" w:hAnsi="Arial"/>
          <w:b/>
          <w:bCs/>
          <w:color w:val="1B3A6B"/>
          <w:sz w:val="23"/>
          <w:szCs w:val="23"/>
        </w:rPr>
        <w:t xml:space="preserve">Architecture ABCKO</w:t>
      </w:r>
    </w:p>
    <w:p>
      <w:pPr>
        <w:spacing w:before="80" w:after="80"/>
        <w:jc w:val="both"/>
      </w:pPr>
      <w:r>
        <w:rPr>
          <w:rFonts w:ascii="Arial" w:cs="Arial" w:eastAsia="Arial" w:hAnsi="Arial"/>
          <w:color w:val="1A1A1A"/>
          <w:sz w:val="22"/>
          <w:szCs w:val="22"/>
        </w:rPr>
        <w:t xml:space="preserve">Anthropométrie · Biologie · Comorbidités · Koefficients · Ordonnance. Quatre modules séquentiels opérés par l'assistante médicale, la diététicienne et le médecin. Score déclaratif confronté à la biologie objective et aux comorbidités établies. Pondération dynamique. Validation en 18 mois via cohortes rétrospectives + Markov + étude prospective multicentrique.</w:t>
      </w:r>
    </w:p>
    <w:p>
      <w:r>
        <w:br w:type="page"/>
      </w:r>
    </w:p>
    <w:p>
      <w:pPr>
        <w:pStyle w:val="Heading1"/>
        <w:pageBreakBefore/>
        <w:spacing w:before="400" w:after="200"/>
      </w:pPr>
      <w:r>
        <w:rPr>
          <w:rFonts w:ascii="Arial" w:cs="Arial" w:eastAsia="Arial" w:hAnsi="Arial"/>
          <w:b/>
          <w:bCs/>
          <w:color w:val="1B3A6B"/>
          <w:sz w:val="34"/>
          <w:szCs w:val="34"/>
        </w:rPr>
        <w:t xml:space="preserve">1. Architecture Générale — Modèle ABCKO</w:t>
      </w:r>
    </w:p>
    <w:p>
      <w:pPr>
        <w:pStyle w:val="Heading2"/>
        <w:pBdr>
          <w:bottom w:val="single" w:color="2E75B6" w:sz="3" w:space="4"/>
        </w:pBdr>
        <w:spacing w:before="260" w:after="120"/>
      </w:pPr>
      <w:r>
        <w:rPr>
          <w:rFonts w:ascii="Arial" w:cs="Arial" w:eastAsia="Arial" w:hAnsi="Arial"/>
          <w:b/>
          <w:bCs/>
          <w:color w:val="2E75B6"/>
          <w:sz w:val="26"/>
          <w:szCs w:val="26"/>
        </w:rPr>
        <w:t xml:space="preserve">1.1 Vue d'Ensemble</w:t>
      </w:r>
    </w:p>
    <w:tbl>
      <w:tblPr>
        <w:tblW w:type="dxa" w:w="9026"/>
        <w:tblBorders>
          <w:top w:val="single" w:color="1B3A6B" w:sz="4"/>
          <w:left w:val="single" w:color="1B3A6B" w:sz="14"/>
          <w:bottom w:val="single" w:color="1B3A6B" w:sz="4"/>
          <w:right w:val="single" w:color="CCCCCC" w:sz="1"/>
          <w:insideH w:val="single" w:color="auto" w:sz="4"/>
          <w:insideV w:val="single" w:color="auto" w:sz="4"/>
        </w:tblBorders>
      </w:tblPr>
      <w:tblGrid>
        <w:gridCol w:w="9026"/>
      </w:tblGrid>
      <w:tr>
        <w:tc>
          <w:tcPr>
            <w:tcW w:type="dxa" w:w="9026"/>
            <w:tcBorders>
              <w:top w:val="none"/>
              <w:left w:val="none"/>
              <w:bottom w:val="none"/>
              <w:right w:val="none"/>
            </w:tcBorders>
            <w:shd w:fill="D6E8FA" w:val="clear"/>
            <w:tcMar>
              <w:top w:type="dxa" w:w="90"/>
              <w:left w:type="dxa" w:w="180"/>
              <w:bottom w:type="dxa" w:w="90"/>
              <w:right w:type="dxa" w:w="180"/>
            </w:tcMar>
          </w:tcPr>
          <w:p>
            <w:pPr>
              <w:spacing w:before="30" w:after="50"/>
            </w:pPr>
            <w:r>
              <w:rPr>
                <w:rFonts w:ascii="Arial" w:cs="Arial" w:eastAsia="Arial" w:hAnsi="Arial"/>
                <w:b/>
                <w:bCs/>
                <w:color w:val="1B3A6B"/>
                <w:sz w:val="21"/>
                <w:szCs w:val="21"/>
              </w:rPr>
              <w:t xml:space="preserve">Principe fondateur BMN v2.0 — Analogie avec le Score BSD cardiovasculaire</w:t>
            </w:r>
          </w:p>
          <w:p>
            <w:pPr>
              <w:spacing w:before="15" w:after="15"/>
            </w:pPr>
            <w:r>
              <w:rPr>
                <w:rFonts w:ascii="Arial" w:cs="Arial" w:eastAsia="Arial" w:hAnsi="Arial"/>
                <w:color w:val="1A1A1A"/>
                <w:sz w:val="20"/>
                <w:szCs w:val="20"/>
              </w:rPr>
              <w:t xml:space="preserve">Le Score BSD cardiovasculaire confronte un score déclaratif (CLEO) à une biologie objective. Quand les deux divergent, la biologie prend le dessus via la pondération dynamique. Le Score BMN v2.0 adopte exactement la même logique en ajoutant une troisième source : les comorbidités établies (BMN-K). Un patient qui minimise ses symptômes mais présente un DT2 + SAOS + NAFLD documentés ne peut pas être sous-classifié.</w:t>
            </w:r>
          </w:p>
        </w:tc>
      </w:tr>
    </w:tbl>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00"/>
        <w:gridCol w:w="1200"/>
        <w:gridCol w:w="900"/>
        <w:gridCol w:w="1926"/>
      </w:tblGrid>
      <w:tr>
        <w:tc>
          <w:tcPr>
            <w:tcW w:type="dxa" w:w="9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PHASE</w:t>
            </w:r>
          </w:p>
        </w:tc>
        <w:tc>
          <w:tcPr>
            <w:tcW w:type="dxa" w:w="17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NOM</w:t>
            </w:r>
          </w:p>
        </w:tc>
        <w:tc>
          <w:tcPr>
            <w:tcW w:type="dxa" w:w="24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CONTENU</w:t>
            </w:r>
          </w:p>
        </w:tc>
        <w:tc>
          <w:tcPr>
            <w:tcW w:type="dxa" w:w="12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OPÉRATEUR</w:t>
            </w:r>
          </w:p>
        </w:tc>
        <w:tc>
          <w:tcPr>
            <w:tcW w:type="dxa" w:w="9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SCORE</w:t>
            </w:r>
          </w:p>
        </w:tc>
        <w:tc>
          <w:tcPr>
            <w:tcW w:type="dxa" w:w="1926"/>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DÉCLENCHEMENT</w:t>
            </w:r>
          </w:p>
        </w:tc>
      </w:tr>
      <w:tr>
        <w:tc>
          <w:tcPr>
            <w:tcW w:type="dxa" w:w="9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9"/>
                <w:szCs w:val="19"/>
              </w:rPr>
              <w:t xml:space="preserve">0</w:t>
            </w:r>
          </w:p>
        </w:tc>
        <w:tc>
          <w:tcPr>
            <w:tcW w:type="dxa" w:w="17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9"/>
                <w:szCs w:val="19"/>
              </w:rPr>
              <w:t xml:space="preserve">BMN-C
Clinique</w:t>
            </w:r>
          </w:p>
        </w:tc>
        <w:tc>
          <w:tcPr>
            <w:tcW w:type="dxa" w:w="24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Anthropométrie, ethnie, histoire familiale, tabac, alcool, alimentation, AP, sommeil, stress, santé mentale, exposome</w:t>
            </w:r>
          </w:p>
        </w:tc>
        <w:tc>
          <w:tcPr>
            <w:tcW w:type="dxa" w:w="12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8"/>
                <w:szCs w:val="18"/>
              </w:rPr>
              <w:t xml:space="preserve">AM + Diététicienne</w:t>
            </w:r>
          </w:p>
        </w:tc>
        <w:tc>
          <w:tcPr>
            <w:tcW w:type="dxa" w:w="9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C (0–150)</w:t>
            </w:r>
          </w:p>
        </w:tc>
        <w:tc>
          <w:tcPr>
            <w:tcW w:type="dxa" w:w="1926"/>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Systématique. Sans ordonnance.</w:t>
            </w:r>
          </w:p>
        </w:tc>
      </w:tr>
      <w:tr>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9"/>
                <w:szCs w:val="19"/>
              </w:rPr>
              <w:t xml:space="preserve">1</w:t>
            </w:r>
          </w:p>
        </w:tc>
        <w:tc>
          <w:tcPr>
            <w:tcW w:type="dxa" w:w="17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9"/>
                <w:szCs w:val="19"/>
              </w:rPr>
              <w:t xml:space="preserve">BMN-B
Biologique</w:t>
            </w:r>
          </w:p>
        </w:tc>
        <w:tc>
          <w:tcPr>
            <w:tcW w:type="dxa" w:w="24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5 à 15 biomarqueurs selon niveau de risque BMN-C. HOMA-IR, HbA1c, adiponectine, bilan lipidique, CRP hs, FibroScan, TSH.</w:t>
            </w:r>
          </w:p>
        </w:tc>
        <w:tc>
          <w:tcPr>
            <w:tcW w:type="dxa" w:w="12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8"/>
                <w:szCs w:val="18"/>
              </w:rPr>
              <w:t xml:space="preserve">Médecin
(ordonnance)</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Bio (0–100)</w:t>
            </w:r>
          </w:p>
        </w:tc>
        <w:tc>
          <w:tcPr>
            <w:tcW w:type="dxa" w:w="19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Stratifié par BMN-C. Panels 5/10/15.</w:t>
            </w:r>
          </w:p>
        </w:tc>
      </w:tr>
      <w:tr>
        <w:tc>
          <w:tcPr>
            <w:tcW w:type="dxa" w:w="9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9"/>
                <w:szCs w:val="19"/>
              </w:rPr>
              <w:t xml:space="preserve">2</w:t>
            </w:r>
          </w:p>
        </w:tc>
        <w:tc>
          <w:tcPr>
            <w:tcW w:type="dxa" w:w="17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9"/>
                <w:szCs w:val="19"/>
              </w:rPr>
              <w:t xml:space="preserve">BMN-K
Comorbidités</w:t>
            </w:r>
          </w:p>
        </w:tc>
        <w:tc>
          <w:tcPr>
            <w:tcW w:type="dxa" w:w="24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11 comorbidités et phénotypes : SOPK, SAOS, NAFLD, HTA, DT2, hypothyroïdie, MetS, MONW, pré-diabète, corticothérapie, dépression traitée.</w:t>
            </w:r>
          </w:p>
        </w:tc>
        <w:tc>
          <w:tcPr>
            <w:tcW w:type="dxa" w:w="12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8"/>
                <w:szCs w:val="18"/>
              </w:rPr>
              <w:t xml:space="preserve">Médecin</w:t>
            </w:r>
          </w:p>
        </w:tc>
        <w:tc>
          <w:tcPr>
            <w:tcW w:type="dxa" w:w="9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K (0–50)</w:t>
            </w:r>
          </w:p>
        </w:tc>
        <w:tc>
          <w:tcPr>
            <w:tcW w:type="dxa" w:w="1926"/>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Si BMN-C ≥ 50 ou comorbidité connue.</w:t>
            </w:r>
          </w:p>
        </w:tc>
      </w:tr>
      <w:tr>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9"/>
                <w:szCs w:val="19"/>
              </w:rPr>
              <w:t xml:space="preserve">3</w:t>
            </w:r>
          </w:p>
        </w:tc>
        <w:tc>
          <w:tcPr>
            <w:tcW w:type="dxa" w:w="17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9"/>
                <w:szCs w:val="19"/>
              </w:rPr>
              <w:t xml:space="preserve">BMN-T
Score Final</w:t>
            </w:r>
          </w:p>
        </w:tc>
        <w:tc>
          <w:tcPr>
            <w:tcW w:type="dxa" w:w="24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Score consolidé : BMN-T = w_C×C + w_B×Bio + w_K×K. Pondération dynamique. BioFloor + ComorbidityFloor. Calcul CTI + GRI.</w:t>
            </w:r>
          </w:p>
        </w:tc>
        <w:tc>
          <w:tcPr>
            <w:tcW w:type="dxa" w:w="12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8"/>
                <w:szCs w:val="18"/>
              </w:rPr>
              <w:t xml:space="preserve">Médecin</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T (0–200)</w:t>
            </w:r>
          </w:p>
        </w:tc>
        <w:tc>
          <w:tcPr>
            <w:tcW w:type="dxa" w:w="19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Score consolidé final. Stratégie thérapeutique.</w:t>
            </w:r>
          </w:p>
        </w:tc>
      </w:tr>
    </w:tbl>
    <w:p>
      <w:pPr>
        <w:spacing w:before="50" w:after="50"/>
      </w:pPr>
      <w:r>
        <w:t xml:space="preserve"/>
      </w:r>
    </w:p>
    <w:p>
      <w:pPr>
        <w:pStyle w:val="Heading2"/>
        <w:pBdr>
          <w:bottom w:val="single" w:color="2E75B6" w:sz="3" w:space="4"/>
        </w:pBdr>
        <w:spacing w:before="260" w:after="120"/>
      </w:pPr>
      <w:r>
        <w:rPr>
          <w:rFonts w:ascii="Arial" w:cs="Arial" w:eastAsia="Arial" w:hAnsi="Arial"/>
          <w:b/>
          <w:bCs/>
          <w:color w:val="2E75B6"/>
          <w:sz w:val="26"/>
          <w:szCs w:val="26"/>
        </w:rPr>
        <w:t xml:space="preserve">1.2 Formule du Score Final BMN-T</w:t>
      </w:r>
    </w:p>
    <w:p>
      <w:pPr>
        <w:spacing w:before="50" w:after="50"/>
      </w:pPr>
      <w:r>
        <w:t xml:space="preserve"/>
      </w:r>
    </w:p>
    <w:tbl>
      <w:tblPr>
        <w:tblW w:type="dxa" w:w="9026"/>
        <w:tblBorders>
          <w:top w:val="single" w:color="2E75B6" w:sz="4"/>
          <w:left w:val="single" w:color="1B3A6B" w:sz="12"/>
          <w:bottom w:val="single" w:color="2E75B6" w:sz="4"/>
          <w:right w:val="single" w:color="CCCCCC" w:sz="1"/>
          <w:insideH w:val="single" w:color="auto" w:sz="4"/>
          <w:insideV w:val="single" w:color="auto" w:sz="4"/>
        </w:tblBorders>
      </w:tblPr>
      <w:tblGrid>
        <w:gridCol w:w="9026"/>
      </w:tblGrid>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SCORE FINAL BMN-T — PONDÉRATION DYNAMIQUE TRI-SOURCE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BMN_T = w_C × BMN_C_norm + w_B × Bio_norm + w_K × BMN_K_norm</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Pondérations de base (Gap ≤ 20)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w_C = 0,55  |  w_B = 0,30  |  w_K = 0,15</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Pondération dynamique si gap = (Bio_norm − BMN_C_norm) &gt; 20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extraWeight = min(0,30, (gap − 20) / 100 × 0,60)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w_B = 0,30 + extraWeight     (monte jusqu'à 0,60)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w_C = 0,55 − extraWeight×0,75 (descend jusqu'à 0,25)</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w_K = 0,15                   (stable — comorbidités non subjectives)</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BIOFLOOR STANDARD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BMN_T &lt; Bio_norm × 0,75 → BMN_T = Bio_norm × 0,75</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BIOFLOOR D'URGENCE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Bio_norm &gt; 90 → BMN_T ≥ max(80, Bio_norm × 0,85)  [TRÈS ÉLEVÉ garanti]</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Bio_norm &gt; 80 → BMN_T ≥ Bio_norm × 0,85           [ÉLEVÉ minimum]</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COMORBIDITY FLOOR (NOUVEAU v2.0)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BMN_K &gt; 30 ET BMN_T &lt; 40 → BMN_T ≥ max(40, BMN_K × 0,80)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Rationale : un patient avec DT2 + SOPK + NAFLD ne peut être classé FAIBLE.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NORMALISATION ET CLASSIFICATION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BMN_T  0– 40 : FAIBLE    | BMN_T  41– 80 : MODÉRÉ</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BMN_T 81–120 : ÉLEVÉ     | BMN_T 121–160 : TRÈS ÉLEVÉ</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BMN_T   &gt;160 : CRITIQUE</w:t>
            </w:r>
          </w:p>
        </w:tc>
      </w:tr>
    </w:tbl>
    <w:p>
      <w:pPr>
        <w:spacing w:before="50" w:after="50"/>
      </w:pPr>
      <w:r>
        <w:t xml:space="preserve"/>
      </w:r>
    </w:p>
    <w:p>
      <w:r>
        <w:br w:type="page"/>
      </w:r>
    </w:p>
    <w:p>
      <w:pPr>
        <w:pStyle w:val="Heading1"/>
        <w:pageBreakBefore/>
        <w:spacing w:before="400" w:after="200"/>
      </w:pPr>
      <w:r>
        <w:rPr>
          <w:rFonts w:ascii="Arial" w:cs="Arial" w:eastAsia="Arial" w:hAnsi="Arial"/>
          <w:b/>
          <w:bCs/>
          <w:color w:val="1B3A6B"/>
          <w:sz w:val="34"/>
          <w:szCs w:val="34"/>
        </w:rPr>
        <w:t xml:space="preserve">2. Module BMN-C — Évaluation Clinique</w:t>
      </w:r>
    </w:p>
    <w:p>
      <w:pPr>
        <w:pStyle w:val="Heading2"/>
        <w:pBdr>
          <w:bottom w:val="single" w:color="2E75B6" w:sz="3" w:space="4"/>
        </w:pBdr>
        <w:spacing w:before="260" w:after="120"/>
      </w:pPr>
      <w:r>
        <w:rPr>
          <w:rFonts w:ascii="Arial" w:cs="Arial" w:eastAsia="Arial" w:hAnsi="Arial"/>
          <w:b/>
          <w:bCs/>
          <w:color w:val="2E75B6"/>
          <w:sz w:val="26"/>
          <w:szCs w:val="26"/>
        </w:rPr>
        <w:t xml:space="preserve">2.1 Variables et Justifications Méta-Analytiques</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200"/>
        <w:gridCol w:w="1000"/>
        <w:gridCol w:w="3026"/>
      </w:tblGrid>
      <w:tr>
        <w:tc>
          <w:tcPr>
            <w:tcW w:type="dxa" w:w="17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DOMAINE</w:t>
            </w:r>
          </w:p>
        </w:tc>
        <w:tc>
          <w:tcPr>
            <w:tcW w:type="dxa" w:w="21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VARIABLE</w:t>
            </w:r>
          </w:p>
        </w:tc>
        <w:tc>
          <w:tcPr>
            <w:tcW w:type="dxa" w:w="12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OUTIL</w:t>
            </w:r>
          </w:p>
        </w:tc>
        <w:tc>
          <w:tcPr>
            <w:tcW w:type="dxa" w:w="10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POINTS MAX</w:t>
            </w:r>
          </w:p>
        </w:tc>
        <w:tc>
          <w:tcPr>
            <w:tcW w:type="dxa" w:w="3026"/>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JUSTIFICATION MÉTA-ANALYTIQUE</w:t>
            </w:r>
          </w:p>
        </w:tc>
      </w:tr>
      <w:tr>
        <w:tc>
          <w:tcPr>
            <w:tcW w:type="dxa" w:w="17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ANTHROPOMÉTRIE</w:t>
            </w:r>
          </w:p>
        </w:tc>
        <w:tc>
          <w:tcPr>
            <w:tcW w:type="dxa" w:w="21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IMC (seuils ethniques corrigés)</w:t>
            </w:r>
          </w:p>
        </w:tc>
        <w:tc>
          <w:tcPr>
            <w:tcW w:type="dxa" w:w="12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AM — mesure</w:t>
            </w:r>
          </w:p>
        </w:tc>
        <w:tc>
          <w:tcPr>
            <w:tcW w:type="dxa" w:w="10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0–10 pts</w:t>
            </w:r>
          </w:p>
        </w:tc>
        <w:tc>
          <w:tcPr>
            <w:tcW w:type="dxa" w:w="3026"/>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OR 1,87. Seuils WHO Asia-Pacific [23 ; 27,5] pour populations asiatiques.</w:t>
            </w:r>
          </w:p>
        </w:tc>
      </w:tr>
      <w:tr>
        <w:tc>
          <w:tcPr>
            <w:tcW w:type="dxa" w:w="17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ANTHROPOMÉTRIE</w:t>
            </w:r>
          </w:p>
        </w:tc>
        <w:tc>
          <w:tcPr>
            <w:tcW w:type="dxa" w:w="21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Tour de taille (seuil IDF ethnique)</w:t>
            </w:r>
          </w:p>
        </w:tc>
        <w:tc>
          <w:tcPr>
            <w:tcW w:type="dxa" w:w="12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AM — mesure</w:t>
            </w:r>
          </w:p>
        </w:tc>
        <w:tc>
          <w:tcPr>
            <w:tcW w:type="dxa" w:w="10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0–15 pts</w:t>
            </w:r>
          </w:p>
        </w:tc>
        <w:tc>
          <w:tcPr>
            <w:tcW w:type="dxa" w:w="3026"/>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HR 2,24 — N=10,6M. PRIORITAIRE. Global BMI Mortality Lancet 2016.</w:t>
            </w:r>
          </w:p>
        </w:tc>
      </w:tr>
      <w:tr>
        <w:tc>
          <w:tcPr>
            <w:tcW w:type="dxa" w:w="17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ANTHROPOMÉTRIE</w:t>
            </w:r>
          </w:p>
        </w:tc>
        <w:tc>
          <w:tcPr>
            <w:tcW w:type="dxa" w:w="21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Ratio Taille/Taille WHtR</w:t>
            </w:r>
          </w:p>
        </w:tc>
        <w:tc>
          <w:tcPr>
            <w:tcW w:type="dxa" w:w="12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AM — calcul</w:t>
            </w:r>
          </w:p>
        </w:tc>
        <w:tc>
          <w:tcPr>
            <w:tcW w:type="dxa" w:w="10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0–9 pts</w:t>
            </w:r>
          </w:p>
        </w:tc>
        <w:tc>
          <w:tcPr>
            <w:tcW w:type="dxa" w:w="3026"/>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HR 2,08 — Universel. Seuil 0,50. Ashwell BMJ Open 2016.</w:t>
            </w:r>
          </w:p>
        </w:tc>
      </w:tr>
      <w:tr>
        <w:tc>
          <w:tcPr>
            <w:tcW w:type="dxa" w:w="1700"/>
            <w:gridSpan w:val="1"/>
            <w:tcBorders>
              <w:top w:val="single" w:color="CCCCCC" w:sz="1"/>
              <w:left w:val="single" w:color="CCCCCC" w:sz="1"/>
              <w:bottom w:val="single" w:color="CCCCCC" w:sz="1"/>
              <w:right w:val="single" w:color="CCCCCC" w:sz="1"/>
            </w:tcBorders>
            <w:shd w:fill="E8E0F5"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ETHNIE</w:t>
            </w:r>
          </w:p>
        </w:tc>
        <w:tc>
          <w:tcPr>
            <w:tcW w:type="dxa" w:w="2100"/>
            <w:gridSpan w:val="1"/>
            <w:tcBorders>
              <w:top w:val="single" w:color="CCCCCC" w:sz="1"/>
              <w:left w:val="single" w:color="CCCCCC" w:sz="1"/>
              <w:bottom w:val="single" w:color="CCCCCC" w:sz="1"/>
              <w:right w:val="single" w:color="CCCCCC" w:sz="1"/>
            </w:tcBorders>
            <w:shd w:fill="E8E0F5"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Groupe ethnique (9 groupes)</w:t>
            </w:r>
          </w:p>
        </w:tc>
        <w:tc>
          <w:tcPr>
            <w:tcW w:type="dxa" w:w="1200"/>
            <w:gridSpan w:val="1"/>
            <w:tcBorders>
              <w:top w:val="single" w:color="CCCCCC" w:sz="1"/>
              <w:left w:val="single" w:color="CCCCCC" w:sz="1"/>
              <w:bottom w:val="single" w:color="CCCCCC" w:sz="1"/>
              <w:right w:val="single" w:color="CCCCCC" w:sz="1"/>
            </w:tcBorders>
            <w:shd w:fill="E8E0F5"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Questionnaire AM</w:t>
            </w:r>
          </w:p>
        </w:tc>
        <w:tc>
          <w:tcPr>
            <w:tcW w:type="dxa" w:w="1000"/>
            <w:gridSpan w:val="1"/>
            <w:tcBorders>
              <w:top w:val="single" w:color="CCCCCC" w:sz="1"/>
              <w:left w:val="single" w:color="CCCCCC" w:sz="1"/>
              <w:bottom w:val="single" w:color="CCCCCC" w:sz="1"/>
              <w:right w:val="single" w:color="CCCCCC" w:sz="1"/>
            </w:tcBorders>
            <w:shd w:fill="E8E0F5"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Mult.</w:t>
            </w:r>
          </w:p>
        </w:tc>
        <w:tc>
          <w:tcPr>
            <w:tcW w:type="dxa" w:w="3026"/>
            <w:gridSpan w:val="1"/>
            <w:tcBorders>
              <w:top w:val="single" w:color="CCCCCC" w:sz="1"/>
              <w:left w:val="single" w:color="CCCCCC" w:sz="1"/>
              <w:bottom w:val="single" w:color="CCCCCC" w:sz="1"/>
              <w:right w:val="single" w:color="CCCCCC" w:sz="1"/>
            </w:tcBorders>
            <w:shd w:fill="E8E0F5"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11 multiplicateurs corrigeant seuils IMC, pondérations bio, risque complications.</w:t>
            </w:r>
          </w:p>
        </w:tc>
      </w:tr>
      <w:tr>
        <w:tc>
          <w:tcPr>
            <w:tcW w:type="dxa" w:w="17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HISTOIRE FAM.</w:t>
            </w:r>
          </w:p>
        </w:tc>
        <w:tc>
          <w:tcPr>
            <w:tcW w:type="dxa" w:w="2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Obésité 2 parents</w:t>
            </w:r>
          </w:p>
        </w:tc>
        <w:tc>
          <w:tcPr>
            <w:tcW w:type="dxa" w:w="12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Questionnaire AM</w:t>
            </w:r>
          </w:p>
        </w:tc>
        <w:tc>
          <w:tcPr>
            <w:tcW w:type="dxa" w:w="10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0–10 pts</w:t>
            </w:r>
          </w:p>
        </w:tc>
        <w:tc>
          <w:tcPr>
            <w:tcW w:type="dxa" w:w="30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OR 8,42. N=196k. Simmonds Lancet 2016.</w:t>
            </w:r>
          </w:p>
        </w:tc>
      </w:tr>
      <w:tr>
        <w:tc>
          <w:tcPr>
            <w:tcW w:type="dxa" w:w="17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HISTOIRE FAM.</w:t>
            </w:r>
          </w:p>
        </w:tc>
        <w:tc>
          <w:tcPr>
            <w:tcW w:type="dxa" w:w="2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Obésité 1 parent</w:t>
            </w:r>
          </w:p>
        </w:tc>
        <w:tc>
          <w:tcPr>
            <w:tcW w:type="dxa" w:w="12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Questionnaire AM</w:t>
            </w:r>
          </w:p>
        </w:tc>
        <w:tc>
          <w:tcPr>
            <w:tcW w:type="dxa" w:w="10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0–8 pts</w:t>
            </w:r>
          </w:p>
        </w:tc>
        <w:tc>
          <w:tcPr>
            <w:tcW w:type="dxa" w:w="30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OR 3,17. Risque génétique significatif.</w:t>
            </w:r>
          </w:p>
        </w:tc>
      </w:tr>
      <w:tr>
        <w:tc>
          <w:tcPr>
            <w:tcW w:type="dxa" w:w="17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HISTOIRE FAM.</w:t>
            </w:r>
          </w:p>
        </w:tc>
        <w:tc>
          <w:tcPr>
            <w:tcW w:type="dxa" w:w="2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Obésité enfance (&lt; 12 ans)</w:t>
            </w:r>
          </w:p>
        </w:tc>
        <w:tc>
          <w:tcPr>
            <w:tcW w:type="dxa" w:w="12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Questionnaire AM</w:t>
            </w:r>
          </w:p>
        </w:tc>
        <w:tc>
          <w:tcPr>
            <w:tcW w:type="dxa" w:w="10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0–10 pts</w:t>
            </w:r>
          </w:p>
        </w:tc>
        <w:tc>
          <w:tcPr>
            <w:tcW w:type="dxa" w:w="30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OR 5,21. Signal chronicisation précoce. CTI amplifié.</w:t>
            </w:r>
          </w:p>
        </w:tc>
      </w:tr>
      <w:tr>
        <w:tc>
          <w:tcPr>
            <w:tcW w:type="dxa" w:w="17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HISTOIRE FAM.</w:t>
            </w:r>
          </w:p>
        </w:tc>
        <w:tc>
          <w:tcPr>
            <w:tcW w:type="dxa" w:w="2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Diabète T2 parental</w:t>
            </w:r>
          </w:p>
        </w:tc>
        <w:tc>
          <w:tcPr>
            <w:tcW w:type="dxa" w:w="12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Questionnaire AM</w:t>
            </w:r>
          </w:p>
        </w:tc>
        <w:tc>
          <w:tcPr>
            <w:tcW w:type="dxa" w:w="10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0–5 pts</w:t>
            </w:r>
          </w:p>
        </w:tc>
        <w:tc>
          <w:tcPr>
            <w:tcW w:type="dxa" w:w="30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Proxy IR héréditaire. InterAct Lancet 2011.</w:t>
            </w:r>
          </w:p>
        </w:tc>
      </w:tr>
      <w:tr>
        <w:tc>
          <w:tcPr>
            <w:tcW w:type="dxa" w:w="17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TABAC</w:t>
            </w:r>
          </w:p>
        </w:tc>
        <w:tc>
          <w:tcPr>
            <w:tcW w:type="dxa" w:w="2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Statut + durée sevrage</w:t>
            </w:r>
          </w:p>
        </w:tc>
        <w:tc>
          <w:tcPr>
            <w:tcW w:type="dxa" w:w="12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Questionnaire AM</w:t>
            </w:r>
          </w:p>
        </w:tc>
        <w:tc>
          <w:tcPr>
            <w:tcW w:type="dxa" w:w="10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0–8 pts</w:t>
            </w:r>
          </w:p>
        </w:tc>
        <w:tc>
          <w:tcPr>
            <w:tcW w:type="dxa" w:w="3026"/>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Sevrage &lt; 24 mois = risque max. RR 1,84. Aubin BMJ 2012.</w:t>
            </w:r>
          </w:p>
        </w:tc>
      </w:tr>
      <w:tr>
        <w:tc>
          <w:tcPr>
            <w:tcW w:type="dxa" w:w="17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ALCOOL</w:t>
            </w:r>
          </w:p>
        </w:tc>
        <w:tc>
          <w:tcPr>
            <w:tcW w:type="dxa" w:w="2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Verres/semaine — AUDIT-C</w:t>
            </w:r>
          </w:p>
        </w:tc>
        <w:tc>
          <w:tcPr>
            <w:tcW w:type="dxa" w:w="12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Questionnaire AM</w:t>
            </w:r>
          </w:p>
        </w:tc>
        <w:tc>
          <w:tcPr>
            <w:tcW w:type="dxa" w:w="10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0–5 pts</w:t>
            </w:r>
          </w:p>
        </w:tc>
        <w:tc>
          <w:tcPr>
            <w:tcW w:type="dxa" w:w="3026"/>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OR 1,46 &gt; 3 verres/j. Traversy 2015.</w:t>
            </w:r>
          </w:p>
        </w:tc>
      </w:tr>
      <w:tr>
        <w:tc>
          <w:tcPr>
            <w:tcW w:type="dxa" w:w="17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ALIMENTATION</w:t>
            </w:r>
          </w:p>
        </w:tc>
        <w:tc>
          <w:tcPr>
            <w:tcW w:type="dxa" w:w="21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Score DQI-BMN (5 dimensions)</w:t>
            </w:r>
          </w:p>
        </w:tc>
        <w:tc>
          <w:tcPr>
            <w:tcW w:type="dxa" w:w="12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Diététicienne</w:t>
            </w:r>
          </w:p>
        </w:tc>
        <w:tc>
          <w:tcPr>
            <w:tcW w:type="dxa" w:w="10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0–15 pts</w:t>
            </w:r>
          </w:p>
        </w:tc>
        <w:tc>
          <w:tcPr>
            <w:tcW w:type="dxa" w:w="30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Ultra-transformés HR 1,62. Lane 2024 N=9,9M.</w:t>
            </w:r>
          </w:p>
        </w:tc>
      </w:tr>
      <w:tr>
        <w:tc>
          <w:tcPr>
            <w:tcW w:type="dxa" w:w="17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ACTIVITÉ PHY.</w:t>
            </w:r>
          </w:p>
        </w:tc>
        <w:tc>
          <w:tcPr>
            <w:tcW w:type="dxa" w:w="21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Minutes/semaine — IPAQ</w:t>
            </w:r>
          </w:p>
        </w:tc>
        <w:tc>
          <w:tcPr>
            <w:tcW w:type="dxa" w:w="12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Questionnaire AM</w:t>
            </w:r>
          </w:p>
        </w:tc>
        <w:tc>
          <w:tcPr>
            <w:tcW w:type="dxa" w:w="10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0–9 pts</w:t>
            </w:r>
          </w:p>
        </w:tc>
        <w:tc>
          <w:tcPr>
            <w:tcW w:type="dxa" w:w="30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HR 1,68 absence AP. WHO Lancet 2019 N=1,2M.</w:t>
            </w:r>
          </w:p>
        </w:tc>
      </w:tr>
      <w:tr>
        <w:tc>
          <w:tcPr>
            <w:tcW w:type="dxa" w:w="17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ACTIVITÉ PHY.</w:t>
            </w:r>
          </w:p>
        </w:tc>
        <w:tc>
          <w:tcPr>
            <w:tcW w:type="dxa" w:w="21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Temps assis (heures/jour)</w:t>
            </w:r>
          </w:p>
        </w:tc>
        <w:tc>
          <w:tcPr>
            <w:tcW w:type="dxa" w:w="12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Questionnaire AM</w:t>
            </w:r>
          </w:p>
        </w:tc>
        <w:tc>
          <w:tcPr>
            <w:tcW w:type="dxa" w:w="10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0–9 pts</w:t>
            </w:r>
          </w:p>
        </w:tc>
        <w:tc>
          <w:tcPr>
            <w:tcW w:type="dxa" w:w="30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HR 1,91 sédentarité &gt; 8h/j. Biswas 2015.</w:t>
            </w:r>
          </w:p>
        </w:tc>
      </w:tr>
      <w:tr>
        <w:tc>
          <w:tcPr>
            <w:tcW w:type="dxa" w:w="17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SOMMEIL</w:t>
            </w:r>
          </w:p>
        </w:tc>
        <w:tc>
          <w:tcPr>
            <w:tcW w:type="dxa" w:w="21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Durée sommeil (heures/nuit)</w:t>
            </w:r>
          </w:p>
        </w:tc>
        <w:tc>
          <w:tcPr>
            <w:tcW w:type="dxa" w:w="12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Question directe AM</w:t>
            </w:r>
          </w:p>
        </w:tc>
        <w:tc>
          <w:tcPr>
            <w:tcW w:type="dxa" w:w="10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0–7 pts</w:t>
            </w:r>
          </w:p>
        </w:tc>
        <w:tc>
          <w:tcPr>
            <w:tcW w:type="dxa" w:w="3026"/>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OR 1,55 &lt; 6h. Cappuccio 2008 N=634k.</w:t>
            </w:r>
          </w:p>
        </w:tc>
      </w:tr>
      <w:tr>
        <w:tc>
          <w:tcPr>
            <w:tcW w:type="dxa" w:w="17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SOMMEIL</w:t>
            </w:r>
          </w:p>
        </w:tc>
        <w:tc>
          <w:tcPr>
            <w:tcW w:type="dxa" w:w="21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Qualité sommeil — ISI (7 items)</w:t>
            </w:r>
          </w:p>
        </w:tc>
        <w:tc>
          <w:tcPr>
            <w:tcW w:type="dxa" w:w="12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Auto-questionnaire</w:t>
            </w:r>
          </w:p>
        </w:tc>
        <w:tc>
          <w:tcPr>
            <w:tcW w:type="dxa" w:w="10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0–8 pts</w:t>
            </w:r>
          </w:p>
        </w:tc>
        <w:tc>
          <w:tcPr>
            <w:tcW w:type="dxa" w:w="3026"/>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OR 1,73 SAOS/ISI ≥ 15.</w:t>
            </w:r>
          </w:p>
        </w:tc>
      </w:tr>
      <w:tr>
        <w:tc>
          <w:tcPr>
            <w:tcW w:type="dxa" w:w="17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SOMMEIL</w:t>
            </w:r>
          </w:p>
        </w:tc>
        <w:tc>
          <w:tcPr>
            <w:tcW w:type="dxa" w:w="21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Travail de nuit (&gt; 3 nuits/sem)</w:t>
            </w:r>
          </w:p>
        </w:tc>
        <w:tc>
          <w:tcPr>
            <w:tcW w:type="dxa" w:w="12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Questionnaire AM</w:t>
            </w:r>
          </w:p>
        </w:tc>
        <w:tc>
          <w:tcPr>
            <w:tcW w:type="dxa" w:w="10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0–5 pts</w:t>
            </w:r>
          </w:p>
        </w:tc>
        <w:tc>
          <w:tcPr>
            <w:tcW w:type="dxa" w:w="3026"/>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OR 1,43. Antunes 2010.</w:t>
            </w:r>
          </w:p>
        </w:tc>
      </w:tr>
      <w:tr>
        <w:tc>
          <w:tcPr>
            <w:tcW w:type="dxa" w:w="17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SANTÉ MENTALE</w:t>
            </w:r>
          </w:p>
        </w:tc>
        <w:tc>
          <w:tcPr>
            <w:tcW w:type="dxa" w:w="2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Dépression — PHQ-9</w:t>
            </w:r>
          </w:p>
        </w:tc>
        <w:tc>
          <w:tcPr>
            <w:tcW w:type="dxa" w:w="12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Auto-questionnaire</w:t>
            </w:r>
          </w:p>
        </w:tc>
        <w:tc>
          <w:tcPr>
            <w:tcW w:type="dxa" w:w="10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0–10 pts</w:t>
            </w:r>
          </w:p>
        </w:tc>
        <w:tc>
          <w:tcPr>
            <w:tcW w:type="dxa" w:w="30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OR 1,58. Luppino 2010 N=55k. GRADE B.</w:t>
            </w:r>
          </w:p>
        </w:tc>
      </w:tr>
      <w:tr>
        <w:tc>
          <w:tcPr>
            <w:tcW w:type="dxa" w:w="17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SANTÉ MENTALE</w:t>
            </w:r>
          </w:p>
        </w:tc>
        <w:tc>
          <w:tcPr>
            <w:tcW w:type="dxa" w:w="2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Stress chronique — PSS-10</w:t>
            </w:r>
          </w:p>
        </w:tc>
        <w:tc>
          <w:tcPr>
            <w:tcW w:type="dxa" w:w="12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Auto-questionnaire</w:t>
            </w:r>
          </w:p>
        </w:tc>
        <w:tc>
          <w:tcPr>
            <w:tcW w:type="dxa" w:w="10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0–10 pts</w:t>
            </w:r>
          </w:p>
        </w:tc>
        <w:tc>
          <w:tcPr>
            <w:tcW w:type="dxa" w:w="30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OR 1,62. Champaneri 2013. GRADE B.</w:t>
            </w:r>
          </w:p>
        </w:tc>
      </w:tr>
      <w:tr>
        <w:tc>
          <w:tcPr>
            <w:tcW w:type="dxa" w:w="17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SANTÉ MENTALE</w:t>
            </w:r>
          </w:p>
        </w:tc>
        <w:tc>
          <w:tcPr>
            <w:tcW w:type="dxa" w:w="2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Hyperphagie — BES (16 items)</w:t>
            </w:r>
          </w:p>
        </w:tc>
        <w:tc>
          <w:tcPr>
            <w:tcW w:type="dxa" w:w="12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Auto-questionnaire</w:t>
            </w:r>
          </w:p>
        </w:tc>
        <w:tc>
          <w:tcPr>
            <w:tcW w:type="dxa" w:w="10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0–8 pts</w:t>
            </w:r>
          </w:p>
        </w:tc>
        <w:tc>
          <w:tcPr>
            <w:tcW w:type="dxa" w:w="30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Alimentation émotionnelle. Van Strien 1986.</w:t>
            </w:r>
          </w:p>
        </w:tc>
      </w:tr>
      <w:tr>
        <w:tc>
          <w:tcPr>
            <w:tcW w:type="dxa" w:w="1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EXPOSOME</w:t>
            </w:r>
          </w:p>
        </w:tc>
        <w:tc>
          <w:tcPr>
            <w:tcW w:type="dxa" w:w="21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Perturbateurs endocriniens</w:t>
            </w:r>
          </w:p>
        </w:tc>
        <w:tc>
          <w:tcPr>
            <w:tcW w:type="dxa" w:w="1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Questionnaire AM</w:t>
            </w:r>
          </w:p>
        </w:tc>
        <w:tc>
          <w:tcPr>
            <w:tcW w:type="dxa" w:w="10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0–5 pts</w:t>
            </w:r>
          </w:p>
        </w:tc>
        <w:tc>
          <w:tcPr>
            <w:tcW w:type="dxa" w:w="30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OR 1,49. Ejaredar 2015. GRADE B.</w:t>
            </w:r>
          </w:p>
        </w:tc>
      </w:tr>
      <w:tr>
        <w:tc>
          <w:tcPr>
            <w:tcW w:type="dxa" w:w="1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8"/>
                <w:szCs w:val="18"/>
              </w:rPr>
              <w:t xml:space="preserve">EXPOSOME</w:t>
            </w:r>
          </w:p>
        </w:tc>
        <w:tc>
          <w:tcPr>
            <w:tcW w:type="dxa" w:w="21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Statut socio-économique</w:t>
            </w:r>
          </w:p>
        </w:tc>
        <w:tc>
          <w:tcPr>
            <w:tcW w:type="dxa" w:w="1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Questionnaire AM</w:t>
            </w:r>
          </w:p>
        </w:tc>
        <w:tc>
          <w:tcPr>
            <w:tcW w:type="dxa" w:w="10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0–5 pts</w:t>
            </w:r>
          </w:p>
        </w:tc>
        <w:tc>
          <w:tcPr>
            <w:tcW w:type="dxa" w:w="30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Proxy accès alimentation saine + stress chronique.</w:t>
            </w:r>
          </w:p>
        </w:tc>
      </w:tr>
    </w:tbl>
    <w:p>
      <w:pPr>
        <w:spacing w:before="50" w:after="50"/>
      </w:pPr>
      <w:r>
        <w:t xml:space="preserve"/>
      </w:r>
    </w:p>
    <w:p>
      <w:pPr>
        <w:pStyle w:val="Heading2"/>
        <w:pBdr>
          <w:bottom w:val="single" w:color="2E75B6" w:sz="3" w:space="4"/>
        </w:pBdr>
        <w:spacing w:before="260" w:after="120"/>
      </w:pPr>
      <w:r>
        <w:rPr>
          <w:rFonts w:ascii="Arial" w:cs="Arial" w:eastAsia="Arial" w:hAnsi="Arial"/>
          <w:b/>
          <w:bCs/>
          <w:color w:val="2E75B6"/>
          <w:sz w:val="26"/>
          <w:szCs w:val="26"/>
        </w:rPr>
        <w:t xml:space="preserve">2.2 Multiplicateurs Ethniques — 9 Groupes × 8 Paramètres</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680"/>
        <w:gridCol w:w="680"/>
        <w:gridCol w:w="680"/>
        <w:gridCol w:w="680"/>
        <w:gridCol w:w="780"/>
        <w:gridCol w:w="700"/>
        <w:gridCol w:w="700"/>
        <w:gridCol w:w="726"/>
      </w:tblGrid>
      <w:tr>
        <w:tc>
          <w:tcPr>
            <w:tcW w:type="dxa" w:w="17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GROUPE ETHNIQUE</w:t>
            </w:r>
          </w:p>
        </w:tc>
        <w:tc>
          <w:tcPr>
            <w:tcW w:type="dxa" w:w="68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Ajust.
EV</w:t>
            </w:r>
          </w:p>
        </w:tc>
        <w:tc>
          <w:tcPr>
            <w:tcW w:type="dxa" w:w="68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cvRisk</w:t>
            </w:r>
          </w:p>
        </w:tc>
        <w:tc>
          <w:tcPr>
            <w:tcW w:type="dxa" w:w="68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diabRisk</w:t>
            </w:r>
          </w:p>
        </w:tc>
        <w:tc>
          <w:tcPr>
            <w:tcW w:type="dxa" w:w="68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htaRisk</w:t>
            </w:r>
          </w:p>
        </w:tc>
        <w:tc>
          <w:tcPr>
            <w:tcW w:type="dxa" w:w="78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Seuils IMC</w:t>
            </w:r>
          </w:p>
        </w:tc>
        <w:tc>
          <w:tcPr>
            <w:tcW w:type="dxa" w:w="7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ldlMult</w:t>
            </w:r>
          </w:p>
        </w:tc>
        <w:tc>
          <w:tcPr>
            <w:tcW w:type="dxa" w:w="7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inflamm
Mult</w:t>
            </w:r>
          </w:p>
        </w:tc>
        <w:tc>
          <w:tcPr>
            <w:tcW w:type="dxa" w:w="726"/>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protect
Mult</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Indo-Mauricien</w:t>
            </w:r>
          </w:p>
        </w:tc>
        <w:tc>
          <w:tcPr>
            <w:tcW w:type="dxa" w:w="68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−1,5</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×1,4</w:t>
            </w:r>
          </w:p>
        </w:tc>
        <w:tc>
          <w:tcPr>
            <w:tcW w:type="dxa" w:w="68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×2,0</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×1,2</w:t>
            </w:r>
          </w:p>
        </w:tc>
        <w:tc>
          <w:tcPr>
            <w:tcW w:type="dxa" w:w="78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[23;27,5]</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×1,3</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×1,2</w:t>
            </w:r>
          </w:p>
        </w:tc>
        <w:tc>
          <w:tcPr>
            <w:tcW w:type="dxa" w:w="7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r>
      <w:tr>
        <w:tc>
          <w:tcPr>
            <w:tcW w:type="dxa" w:w="1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Créole</w:t>
            </w:r>
          </w:p>
        </w:tc>
        <w:tc>
          <w:tcPr>
            <w:tcW w:type="dxa" w:w="68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−2,0</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×1,2</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×1,3</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×1,4</w:t>
            </w:r>
          </w:p>
        </w:tc>
        <w:tc>
          <w:tcPr>
            <w:tcW w:type="dxa" w:w="78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[25;30]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×1,2</w:t>
            </w:r>
          </w:p>
        </w:tc>
        <w:tc>
          <w:tcPr>
            <w:tcW w:type="dxa" w:w="7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Sino-Mauricien</w:t>
            </w:r>
          </w:p>
        </w:tc>
        <w:tc>
          <w:tcPr>
            <w:tcW w:type="dxa" w:w="68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A6B3C"/>
                <w:sz w:val="18"/>
                <w:szCs w:val="18"/>
              </w:rPr>
              <w:t xml:space="preserve">+1,5</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×0,6</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×0,9</w:t>
            </w:r>
          </w:p>
        </w:tc>
        <w:tc>
          <w:tcPr>
            <w:tcW w:type="dxa" w:w="78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[23;27,5]</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×0,9</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×0,9</w:t>
            </w:r>
          </w:p>
        </w:tc>
        <w:tc>
          <w:tcPr>
            <w:tcW w:type="dxa" w:w="7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×1,1</w:t>
            </w:r>
          </w:p>
        </w:tc>
      </w:tr>
      <w:tr>
        <w:tc>
          <w:tcPr>
            <w:tcW w:type="dxa" w:w="1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Franco-Mauricien</w:t>
            </w:r>
          </w:p>
        </w:tc>
        <w:tc>
          <w:tcPr>
            <w:tcW w:type="dxa" w:w="68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6B3C"/>
                <w:sz w:val="18"/>
                <w:szCs w:val="18"/>
              </w:rPr>
              <w:t xml:space="preserve">+1,0</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×0,9</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×0,8</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78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[25;30]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7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Sud-Asiatique</w:t>
            </w:r>
          </w:p>
        </w:tc>
        <w:tc>
          <w:tcPr>
            <w:tcW w:type="dxa" w:w="68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−1,5</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×1,5</w:t>
            </w:r>
          </w:p>
        </w:tc>
        <w:tc>
          <w:tcPr>
            <w:tcW w:type="dxa" w:w="68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×2,0</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×1,3</w:t>
            </w:r>
          </w:p>
        </w:tc>
        <w:tc>
          <w:tcPr>
            <w:tcW w:type="dxa" w:w="78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[23;27,5]</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×1,3</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×1,2</w:t>
            </w:r>
          </w:p>
        </w:tc>
        <w:tc>
          <w:tcPr>
            <w:tcW w:type="dxa" w:w="7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r>
      <w:tr>
        <w:tc>
          <w:tcPr>
            <w:tcW w:type="dxa" w:w="1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Européen</w:t>
            </w:r>
          </w:p>
        </w:tc>
        <w:tc>
          <w:tcPr>
            <w:tcW w:type="dxa" w:w="68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0</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78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[25;30]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7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Africain</w:t>
            </w:r>
          </w:p>
        </w:tc>
        <w:tc>
          <w:tcPr>
            <w:tcW w:type="dxa" w:w="68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−1,5</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×1,2</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×1,3</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×1,5</w:t>
            </w:r>
          </w:p>
        </w:tc>
        <w:tc>
          <w:tcPr>
            <w:tcW w:type="dxa" w:w="78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[25;30]</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×1,3</w:t>
            </w:r>
          </w:p>
        </w:tc>
        <w:tc>
          <w:tcPr>
            <w:tcW w:type="dxa" w:w="7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r>
      <w:tr>
        <w:tc>
          <w:tcPr>
            <w:tcW w:type="dxa" w:w="1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Est-Asiatique</w:t>
            </w:r>
          </w:p>
        </w:tc>
        <w:tc>
          <w:tcPr>
            <w:tcW w:type="dxa" w:w="68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6B3C"/>
                <w:sz w:val="18"/>
                <w:szCs w:val="18"/>
              </w:rPr>
              <w:t xml:space="preserve">+1,5</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×0,7</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×0,9</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×0,9</w:t>
            </w:r>
          </w:p>
        </w:tc>
        <w:tc>
          <w:tcPr>
            <w:tcW w:type="dxa" w:w="78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[23;27,5]</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×0,9</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×0,9</w:t>
            </w:r>
          </w:p>
        </w:tc>
        <w:tc>
          <w:tcPr>
            <w:tcW w:type="dxa" w:w="7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×1,1</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SE-Asiatique</w:t>
            </w:r>
          </w:p>
        </w:tc>
        <w:tc>
          <w:tcPr>
            <w:tcW w:type="dxa" w:w="68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0</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×1,2</w:t>
            </w:r>
          </w:p>
        </w:tc>
        <w:tc>
          <w:tcPr>
            <w:tcW w:type="dxa" w:w="68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78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[23;27,5]</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c>
          <w:tcPr>
            <w:tcW w:type="dxa" w:w="7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×1,0</w:t>
            </w:r>
          </w:p>
        </w:tc>
      </w:tr>
    </w:tbl>
    <w:p>
      <w:pPr>
        <w:spacing w:before="50" w:after="50"/>
      </w:pPr>
      <w:r>
        <w:t xml:space="preserve"/>
      </w:r>
    </w:p>
    <w:p>
      <w:pPr>
        <w:pBdr>
          <w:left w:val="single" w:color="2E75B6" w:sz="8" w:space="10"/>
        </w:pBdr>
        <w:spacing w:before="100" w:after="100"/>
        <w:ind w:left="180"/>
      </w:pPr>
      <w:r>
        <w:rPr>
          <w:rFonts w:ascii="Arial" w:cs="Arial" w:eastAsia="Arial" w:hAnsi="Arial"/>
          <w:i/>
          <w:iCs/>
          <w:color w:val="444444"/>
          <w:sz w:val="20"/>
          <w:szCs w:val="20"/>
        </w:rPr>
        <w:t xml:space="preserve">Calibrés sur les mêmes sources que le Score BSD v4.9 : INTERHEART SA (OR 2,0 IDM chez Sud-Asiatiques), ALLHAT (HTA Africains ×1,5), InterAct Lancet 2011 (DT2 Indo-Mauriciens ×2,0), PMC2928348 (cohorte mauricienne N=9 559, 15 ans). Les seuils IMC [23 ; 27,5] sont ceux de la WHO Expert Consultation Lancet 2004.</w:t>
      </w:r>
    </w:p>
    <w:p>
      <w:pPr>
        <w:spacing w:before="50" w:after="50"/>
      </w:pPr>
      <w:r>
        <w:t xml:space="preserve"/>
      </w:r>
    </w:p>
    <w:p>
      <w:pPr>
        <w:pStyle w:val="Heading2"/>
        <w:pBdr>
          <w:bottom w:val="single" w:color="2E75B6" w:sz="3" w:space="4"/>
        </w:pBdr>
        <w:spacing w:before="260" w:after="120"/>
      </w:pPr>
      <w:r>
        <w:rPr>
          <w:rFonts w:ascii="Arial" w:cs="Arial" w:eastAsia="Arial" w:hAnsi="Arial"/>
          <w:b/>
          <w:bCs/>
          <w:color w:val="2E75B6"/>
          <w:sz w:val="26"/>
          <w:szCs w:val="26"/>
        </w:rPr>
        <w:t xml:space="preserve">2.3 Sous-Score Inflammatoire Indirect (SII) — Déclenchement Adaptatif</w:t>
      </w:r>
    </w:p>
    <w:p>
      <w:pPr>
        <w:spacing w:before="50" w:after="50"/>
      </w:pPr>
      <w:r>
        <w:t xml:space="preserve"/>
      </w:r>
    </w:p>
    <w:tbl>
      <w:tblPr>
        <w:tblW w:type="dxa" w:w="9026"/>
        <w:tblBorders>
          <w:top w:val="single" w:color="2E75B6" w:sz="4"/>
          <w:left w:val="single" w:color="1B3A6B" w:sz="12"/>
          <w:bottom w:val="single" w:color="2E75B6" w:sz="4"/>
          <w:right w:val="single" w:color="CCCCCC" w:sz="1"/>
          <w:insideH w:val="single" w:color="auto" w:sz="4"/>
          <w:insideV w:val="single" w:color="auto" w:sz="4"/>
        </w:tblBorders>
      </w:tblPr>
      <w:tblGrid>
        <w:gridCol w:w="9026"/>
      </w:tblGrid>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SUB-SCORE INFLAMMATOIRE INDIRECT — SII (analogue Score BSD v4.9)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SII = 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stress_PSS10_ratio ≥ 0,35      → SII += 1  (stress élevé)</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activité_physique_score ≥ 2    → SII += 1  (sédentarité significative)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IMC ≥ seuil_obésité_ethnique   → SII += 1  (obésité)</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tabac actif (c7 ≥ 4)           → SII += 1  (tabagisme actif)</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DQI_AUT_score ≥ 2              → SII += 1  (alimentation ultra-transformée)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sommeil_ISI ≥ 15               → SII += 1  (trouble du sommeil)</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tour_taille &gt; seuil_ethnique   → SII += 1  (adiposité viscérale)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Critères indépendants → Panel 5 automatique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âge ≥ 40 | ATCD familiaux | comorbidité connue | 1er bilan</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dernier bilan &gt; 730 jours | grossesse en cours</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SII ≥ 2  → PANEL 5 OBLIGATOIRE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SII &lt; 2 ET aucun critère indépendant → Panel OPTIONNEL</w:t>
            </w:r>
          </w:p>
        </w:tc>
      </w:tr>
    </w:tbl>
    <w:p>
      <w:pPr>
        <w:spacing w:before="50" w:after="50"/>
      </w:pPr>
      <w:r>
        <w:t xml:space="preserve"/>
      </w:r>
    </w:p>
    <w:p>
      <w:r>
        <w:br w:type="page"/>
      </w:r>
    </w:p>
    <w:p>
      <w:pPr>
        <w:pStyle w:val="Heading1"/>
        <w:pageBreakBefore/>
        <w:spacing w:before="400" w:after="200"/>
      </w:pPr>
      <w:r>
        <w:rPr>
          <w:rFonts w:ascii="Arial" w:cs="Arial" w:eastAsia="Arial" w:hAnsi="Arial"/>
          <w:b/>
          <w:bCs/>
          <w:color w:val="1B3A6B"/>
          <w:sz w:val="34"/>
          <w:szCs w:val="34"/>
        </w:rPr>
        <w:t xml:space="preserve">3. Module BMN-B — Consolidation Biologique</w:t>
      </w:r>
    </w:p>
    <w:p>
      <w:pPr>
        <w:pStyle w:val="Heading2"/>
        <w:pBdr>
          <w:bottom w:val="single" w:color="2E75B6" w:sz="3" w:space="4"/>
        </w:pBdr>
        <w:spacing w:before="260" w:after="120"/>
      </w:pPr>
      <w:r>
        <w:rPr>
          <w:rFonts w:ascii="Arial" w:cs="Arial" w:eastAsia="Arial" w:hAnsi="Arial"/>
          <w:b/>
          <w:bCs/>
          <w:color w:val="2E75B6"/>
          <w:sz w:val="26"/>
          <w:szCs w:val="26"/>
        </w:rPr>
        <w:t xml:space="preserve">3.1 Les 15 Biomarqueurs BMN</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1900"/>
        <w:gridCol w:w="800"/>
        <w:gridCol w:w="900"/>
        <w:gridCol w:w="900"/>
        <w:gridCol w:w="700"/>
        <w:gridCol w:w="700"/>
        <w:gridCol w:w="926"/>
      </w:tblGrid>
      <w:tr>
        <w:tc>
          <w:tcPr>
            <w:tcW w:type="dxa" w:w="2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w:t>
            </w:r>
          </w:p>
        </w:tc>
        <w:tc>
          <w:tcPr>
            <w:tcW w:type="dxa" w:w="19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BIOMARQUEUR</w:t>
            </w:r>
          </w:p>
        </w:tc>
        <w:tc>
          <w:tcPr>
            <w:tcW w:type="dxa" w:w="8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Unité</w:t>
            </w:r>
          </w:p>
        </w:tc>
        <w:tc>
          <w:tcPr>
            <w:tcW w:type="dxa" w:w="9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Normal (n)</w:t>
            </w:r>
          </w:p>
        </w:tc>
        <w:tc>
          <w:tcPr>
            <w:tcW w:type="dxa" w:w="9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Anormal (a)</w:t>
            </w:r>
          </w:p>
        </w:tc>
        <w:tc>
          <w:tcPr>
            <w:tcW w:type="dxa" w:w="7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Poids (w)</w:t>
            </w:r>
          </w:p>
        </w:tc>
        <w:tc>
          <w:tcPr>
            <w:tcW w:type="dxa" w:w="7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Inv.?</w:t>
            </w:r>
          </w:p>
        </w:tc>
        <w:tc>
          <w:tcPr>
            <w:tcW w:type="dxa" w:w="926"/>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Panel</w:t>
            </w:r>
          </w:p>
        </w:tc>
      </w:tr>
      <w:tr>
        <w:tc>
          <w:tcPr>
            <w:tcW w:type="dxa" w:w="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1</w:t>
            </w:r>
          </w:p>
        </w:tc>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HOMA-IR</w:t>
            </w:r>
          </w:p>
        </w:tc>
        <w:tc>
          <w:tcPr>
            <w:tcW w:type="dxa" w:w="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UI/mU</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&lt; 2,5</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 4,0</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2,5</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Non</w:t>
            </w:r>
          </w:p>
        </w:tc>
        <w:tc>
          <w:tcPr>
            <w:tcW w:type="dxa" w:w="9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P5</w:t>
            </w:r>
          </w:p>
        </w:tc>
      </w:tr>
      <w:tr>
        <w:tc>
          <w:tcPr>
            <w:tcW w:type="dxa" w:w="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2</w:t>
            </w:r>
          </w:p>
        </w:tc>
        <w:tc>
          <w:tcPr>
            <w:tcW w:type="dxa" w:w="1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Glycémie à jeun</w:t>
            </w:r>
          </w:p>
        </w:tc>
        <w:tc>
          <w:tcPr>
            <w:tcW w:type="dxa" w:w="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mmol/L</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&lt; 5,6</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 7,0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1,8</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Non</w:t>
            </w:r>
          </w:p>
        </w:tc>
        <w:tc>
          <w:tcPr>
            <w:tcW w:type="dxa" w:w="9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P5</w:t>
            </w:r>
          </w:p>
        </w:tc>
      </w:tr>
      <w:tr>
        <w:tc>
          <w:tcPr>
            <w:tcW w:type="dxa" w:w="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3</w:t>
            </w:r>
          </w:p>
        </w:tc>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HbA1c</w:t>
            </w:r>
          </w:p>
        </w:tc>
        <w:tc>
          <w:tcPr>
            <w:tcW w:type="dxa" w:w="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&lt; 5,7</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 6,5</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2,0</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Non</w:t>
            </w:r>
          </w:p>
        </w:tc>
        <w:tc>
          <w:tcPr>
            <w:tcW w:type="dxa" w:w="9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P5</w:t>
            </w:r>
          </w:p>
        </w:tc>
      </w:tr>
      <w:tr>
        <w:tc>
          <w:tcPr>
            <w:tcW w:type="dxa" w:w="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4</w:t>
            </w:r>
          </w:p>
        </w:tc>
        <w:tc>
          <w:tcPr>
            <w:tcW w:type="dxa" w:w="1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Ratio TG/HDL</w:t>
            </w:r>
          </w:p>
        </w:tc>
        <w:tc>
          <w:tcPr>
            <w:tcW w:type="dxa" w:w="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&lt; 2,0</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 3,5</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2,0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Non</w:t>
            </w:r>
          </w:p>
        </w:tc>
        <w:tc>
          <w:tcPr>
            <w:tcW w:type="dxa" w:w="926"/>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P10</w:t>
            </w:r>
          </w:p>
        </w:tc>
      </w:tr>
      <w:tr>
        <w:tc>
          <w:tcPr>
            <w:tcW w:type="dxa" w:w="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5</w:t>
            </w:r>
          </w:p>
        </w:tc>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Adiponectine</w:t>
            </w:r>
          </w:p>
        </w:tc>
        <w:tc>
          <w:tcPr>
            <w:tcW w:type="dxa" w:w="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μg/mL</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 10</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&lt; 6</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2,5</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Inv.</w:t>
            </w:r>
          </w:p>
        </w:tc>
        <w:tc>
          <w:tcPr>
            <w:tcW w:type="dxa" w:w="926"/>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P10</w:t>
            </w:r>
          </w:p>
        </w:tc>
      </w:tr>
      <w:tr>
        <w:tc>
          <w:tcPr>
            <w:tcW w:type="dxa" w:w="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6</w:t>
            </w:r>
          </w:p>
        </w:tc>
        <w:tc>
          <w:tcPr>
            <w:tcW w:type="dxa" w:w="1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CRP ultra-sensible</w:t>
            </w:r>
          </w:p>
        </w:tc>
        <w:tc>
          <w:tcPr>
            <w:tcW w:type="dxa" w:w="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mg/L</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&lt; 1,0</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 3,0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2,0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Non</w:t>
            </w:r>
          </w:p>
        </w:tc>
        <w:tc>
          <w:tcPr>
            <w:tcW w:type="dxa" w:w="9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P5</w:t>
            </w:r>
          </w:p>
        </w:tc>
      </w:tr>
      <w:tr>
        <w:tc>
          <w:tcPr>
            <w:tcW w:type="dxa" w:w="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7</w:t>
            </w:r>
          </w:p>
        </w:tc>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LDL-C</w:t>
            </w:r>
          </w:p>
        </w:tc>
        <w:tc>
          <w:tcPr>
            <w:tcW w:type="dxa" w:w="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mmol/L</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&lt; 3,0</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 4,1</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1,8</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Non</w:t>
            </w:r>
          </w:p>
        </w:tc>
        <w:tc>
          <w:tcPr>
            <w:tcW w:type="dxa" w:w="9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P5</w:t>
            </w:r>
          </w:p>
        </w:tc>
      </w:tr>
      <w:tr>
        <w:tc>
          <w:tcPr>
            <w:tcW w:type="dxa" w:w="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8</w:t>
            </w:r>
          </w:p>
        </w:tc>
        <w:tc>
          <w:tcPr>
            <w:tcW w:type="dxa" w:w="1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Triglycérides</w:t>
            </w:r>
          </w:p>
        </w:tc>
        <w:tc>
          <w:tcPr>
            <w:tcW w:type="dxa" w:w="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mmol/L</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&lt; 1,7</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 2,3</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1,5</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Non</w:t>
            </w:r>
          </w:p>
        </w:tc>
        <w:tc>
          <w:tcPr>
            <w:tcW w:type="dxa" w:w="926"/>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P10</w:t>
            </w:r>
          </w:p>
        </w:tc>
      </w:tr>
      <w:tr>
        <w:tc>
          <w:tcPr>
            <w:tcW w:type="dxa" w:w="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9</w:t>
            </w:r>
          </w:p>
        </w:tc>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ApoB</w:t>
            </w:r>
          </w:p>
        </w:tc>
        <w:tc>
          <w:tcPr>
            <w:tcW w:type="dxa" w:w="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g/L</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&lt; 0,9</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 1,2</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1,5</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Non</w:t>
            </w:r>
          </w:p>
        </w:tc>
        <w:tc>
          <w:tcPr>
            <w:tcW w:type="dxa" w:w="926"/>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P10</w:t>
            </w:r>
          </w:p>
        </w:tc>
      </w:tr>
      <w:tr>
        <w:tc>
          <w:tcPr>
            <w:tcW w:type="dxa" w:w="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10</w:t>
            </w:r>
          </w:p>
        </w:tc>
        <w:tc>
          <w:tcPr>
            <w:tcW w:type="dxa" w:w="1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HDL-C</w:t>
            </w:r>
          </w:p>
        </w:tc>
        <w:tc>
          <w:tcPr>
            <w:tcW w:type="dxa" w:w="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mmol/L</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 1,0</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&lt; 1,0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1,0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Inv.</w:t>
            </w:r>
          </w:p>
        </w:tc>
        <w:tc>
          <w:tcPr>
            <w:tcW w:type="dxa" w:w="9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P5</w:t>
            </w:r>
          </w:p>
        </w:tc>
      </w:tr>
      <w:tr>
        <w:tc>
          <w:tcPr>
            <w:tcW w:type="dxa" w:w="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11</w:t>
            </w:r>
          </w:p>
        </w:tc>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FibroScan / CAP</w:t>
            </w:r>
          </w:p>
        </w:tc>
        <w:tc>
          <w:tcPr>
            <w:tcW w:type="dxa" w:w="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dB/m</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&lt; 238</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 280</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2,0</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Non</w:t>
            </w:r>
          </w:p>
        </w:tc>
        <w:tc>
          <w:tcPr>
            <w:tcW w:type="dxa" w:w="9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P15</w:t>
            </w:r>
          </w:p>
        </w:tc>
      </w:tr>
      <w:tr>
        <w:tc>
          <w:tcPr>
            <w:tcW w:type="dxa" w:w="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12</w:t>
            </w:r>
          </w:p>
        </w:tc>
        <w:tc>
          <w:tcPr>
            <w:tcW w:type="dxa" w:w="1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TSH</w:t>
            </w:r>
          </w:p>
        </w:tc>
        <w:tc>
          <w:tcPr>
            <w:tcW w:type="dxa" w:w="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mUI/L</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0,4–4,0</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 4,0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1,3</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Non</w:t>
            </w:r>
          </w:p>
        </w:tc>
        <w:tc>
          <w:tcPr>
            <w:tcW w:type="dxa" w:w="9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P5</w:t>
            </w:r>
          </w:p>
        </w:tc>
      </w:tr>
      <w:tr>
        <w:tc>
          <w:tcPr>
            <w:tcW w:type="dxa" w:w="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13</w:t>
            </w:r>
          </w:p>
        </w:tc>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ASAT / ALAT</w:t>
            </w:r>
          </w:p>
        </w:tc>
        <w:tc>
          <w:tcPr>
            <w:tcW w:type="dxa" w:w="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UI/L</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&lt; 40</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 60</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1,0</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Non</w:t>
            </w:r>
          </w:p>
        </w:tc>
        <w:tc>
          <w:tcPr>
            <w:tcW w:type="dxa" w:w="926"/>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P10</w:t>
            </w:r>
          </w:p>
        </w:tc>
      </w:tr>
      <w:tr>
        <w:tc>
          <w:tcPr>
            <w:tcW w:type="dxa" w:w="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14</w:t>
            </w:r>
          </w:p>
        </w:tc>
        <w:tc>
          <w:tcPr>
            <w:tcW w:type="dxa" w:w="1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GGT</w:t>
            </w:r>
          </w:p>
        </w:tc>
        <w:tc>
          <w:tcPr>
            <w:tcW w:type="dxa" w:w="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UI/L</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&lt; 50</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 80</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0,8</w:t>
            </w:r>
          </w:p>
        </w:tc>
        <w:tc>
          <w:tcPr>
            <w:tcW w:type="dxa" w:w="7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Non</w:t>
            </w:r>
          </w:p>
        </w:tc>
        <w:tc>
          <w:tcPr>
            <w:tcW w:type="dxa" w:w="926"/>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P10</w:t>
            </w:r>
          </w:p>
        </w:tc>
      </w:tr>
      <w:tr>
        <w:tc>
          <w:tcPr>
            <w:tcW w:type="dxa" w:w="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15</w:t>
            </w:r>
          </w:p>
        </w:tc>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Acide urique</w:t>
            </w:r>
          </w:p>
        </w:tc>
        <w:tc>
          <w:tcPr>
            <w:tcW w:type="dxa" w:w="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μmol/L</w:t>
            </w:r>
          </w:p>
        </w:tc>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6B3C"/>
                <w:sz w:val="17"/>
                <w:szCs w:val="17"/>
              </w:rPr>
              <w:t xml:space="preserve">&lt; 360</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C0392B"/>
                <w:sz w:val="17"/>
                <w:szCs w:val="17"/>
              </w:rPr>
              <w:t xml:space="preserve">≥ 420</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0,8</w:t>
            </w:r>
          </w:p>
        </w:tc>
        <w:tc>
          <w:tcPr>
            <w:tcW w:type="dxa" w:w="7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iCs/>
                <w:color w:val="1A1A1A"/>
                <w:sz w:val="17"/>
                <w:szCs w:val="17"/>
              </w:rPr>
              <w:t xml:space="preserve">Non</w:t>
            </w:r>
          </w:p>
        </w:tc>
        <w:tc>
          <w:tcPr>
            <w:tcW w:type="dxa" w:w="9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P15</w:t>
            </w:r>
          </w:p>
        </w:tc>
      </w:tr>
    </w:tbl>
    <w:p>
      <w:pPr>
        <w:spacing w:before="50" w:after="50"/>
      </w:pPr>
      <w:r>
        <w:t xml:space="preserve"/>
      </w:r>
    </w:p>
    <w:p>
      <w:pPr>
        <w:pBdr>
          <w:left w:val="single" w:color="2E75B6" w:sz="8" w:space="10"/>
        </w:pBdr>
        <w:spacing w:before="100" w:after="100"/>
        <w:ind w:left="180"/>
      </w:pPr>
      <w:r>
        <w:rPr>
          <w:rFonts w:ascii="Arial" w:cs="Arial" w:eastAsia="Arial" w:hAnsi="Arial"/>
          <w:i/>
          <w:iCs/>
          <w:color w:val="444444"/>
          <w:sz w:val="20"/>
          <w:szCs w:val="20"/>
        </w:rPr>
        <w:t xml:space="preserve">HOMA-IR et adiponectine sont des ajouts spécifiques BMN absents du BSD cardiovasculaire. Ils constituent les deux biomarqueurs les plus prédictifs du risque d'obésité (OR 3,84 et OR 2,88). La stéatose hépatique (CAP FibroScan ≥ 238 dB/m) est ajoutée au Panel 15 car elle signale simultanément une IR hépatique et un risque DT2 × 2,5.</w:t>
      </w:r>
    </w:p>
    <w:p>
      <w:pPr>
        <w:spacing w:before="50" w:after="50"/>
      </w:pPr>
      <w:r>
        <w:t xml:space="preserve"/>
      </w:r>
    </w:p>
    <w:p>
      <w:pPr>
        <w:pStyle w:val="Heading2"/>
        <w:pBdr>
          <w:bottom w:val="single" w:color="2E75B6" w:sz="3" w:space="4"/>
        </w:pBdr>
        <w:spacing w:before="260" w:after="120"/>
      </w:pPr>
      <w:r>
        <w:rPr>
          <w:rFonts w:ascii="Arial" w:cs="Arial" w:eastAsia="Arial" w:hAnsi="Arial"/>
          <w:b/>
          <w:bCs/>
          <w:color w:val="2E75B6"/>
          <w:sz w:val="26"/>
          <w:szCs w:val="26"/>
        </w:rPr>
        <w:t xml:space="preserve">3.2 Formule de Normalisation</w:t>
      </w:r>
    </w:p>
    <w:p>
      <w:pPr>
        <w:spacing w:before="50" w:after="50"/>
      </w:pPr>
      <w:r>
        <w:t xml:space="preserve"/>
      </w:r>
    </w:p>
    <w:tbl>
      <w:tblPr>
        <w:tblW w:type="dxa" w:w="9026"/>
        <w:tblBorders>
          <w:top w:val="single" w:color="2E75B6" w:sz="4"/>
          <w:left w:val="single" w:color="1B3A6B" w:sz="12"/>
          <w:bottom w:val="single" w:color="2E75B6" w:sz="4"/>
          <w:right w:val="single" w:color="CCCCCC" w:sz="1"/>
          <w:insideH w:val="single" w:color="auto" w:sz="4"/>
          <w:insideV w:val="single" w:color="auto" w:sz="4"/>
        </w:tblBorders>
      </w:tblPr>
      <w:tblGrid>
        <w:gridCol w:w="9026"/>
      </w:tblGrid>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NORMALISATION Z-SCORE LINÉAIRE BORNÉE (standard SCORE2/Framingham)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Marqueurs DIRECTS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z = 0            si valeur ≤ n (seuil normal)</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z = (v−n)/(a−n)  si n &lt; valeur &lt; a</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z = 1            si valeur ≥ a (seuil anormal)</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Marqueurs INVERSES (adiponectine, HDL)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z = 0            si valeur ≥ n</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z = min(1,(n−v)/n) si valeur &lt; n</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Bio_norm = (Σ(z_i × w_i) / Σ(w_i)) × 100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[Dénominateur adaptatif : seuls les marqueurs renseignés contribuent]</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SYNERGIE MÉTABOLIQUE (analogue triade inflammatoire BSD)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bMetab = moyenne(z_HOMA-IR, z_TG-HDL, z_adiponectine)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 bMetab &gt; 0,5 : GRI += 0,3  |  BMN-K SOPK/NAFLD amplifié</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Validation : concordance HR vs poids w = 14/15 biomarqueurs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N cumulé études de validation &gt; 3 millions de sujets.</w:t>
            </w:r>
          </w:p>
        </w:tc>
      </w:tr>
    </w:tbl>
    <w:p>
      <w:pPr>
        <w:spacing w:before="50" w:after="50"/>
      </w:pPr>
      <w:r>
        <w:t xml:space="preserve"/>
      </w:r>
    </w:p>
    <w:p>
      <w:pPr>
        <w:pStyle w:val="Heading2"/>
        <w:pBdr>
          <w:bottom w:val="single" w:color="2E75B6" w:sz="3" w:space="4"/>
        </w:pBdr>
        <w:spacing w:before="260" w:after="120"/>
      </w:pPr>
      <w:r>
        <w:rPr>
          <w:rFonts w:ascii="Arial" w:cs="Arial" w:eastAsia="Arial" w:hAnsi="Arial"/>
          <w:b/>
          <w:bCs/>
          <w:color w:val="2E75B6"/>
          <w:sz w:val="26"/>
          <w:szCs w:val="26"/>
        </w:rPr>
        <w:t xml:space="preserve">3.3 Stratégie de Prescription Biologique par Niveau BMN-C</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500"/>
        <w:gridCol w:w="1800"/>
        <w:gridCol w:w="2126"/>
      </w:tblGrid>
      <w:tr>
        <w:tc>
          <w:tcPr>
            <w:tcW w:type="dxa" w:w="13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SCORE BMN-C</w:t>
            </w:r>
          </w:p>
        </w:tc>
        <w:tc>
          <w:tcPr>
            <w:tcW w:type="dxa" w:w="13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NIVEAU</w:t>
            </w:r>
          </w:p>
        </w:tc>
        <w:tc>
          <w:tcPr>
            <w:tcW w:type="dxa" w:w="25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BILAN BIOLOGIQUE PRESCRIT (ordonnance)</w:t>
            </w:r>
          </w:p>
        </w:tc>
        <w:tc>
          <w:tcPr>
            <w:tcW w:type="dxa" w:w="18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STRATÉGIE</w:t>
            </w:r>
          </w:p>
        </w:tc>
        <w:tc>
          <w:tcPr>
            <w:tcW w:type="dxa" w:w="2126"/>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PROBA. OBÉSITÉ
10 ANS</w:t>
            </w:r>
          </w:p>
        </w:tc>
      </w:tr>
      <w:tr>
        <w:tc>
          <w:tcPr>
            <w:tcW w:type="dxa" w:w="13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9"/>
                <w:szCs w:val="19"/>
              </w:rPr>
              <w:t xml:space="preserve">BMN-C &lt; 40</w:t>
            </w:r>
          </w:p>
        </w:tc>
        <w:tc>
          <w:tcPr>
            <w:tcW w:type="dxa" w:w="13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6B3C"/>
                <w:sz w:val="18"/>
                <w:szCs w:val="18"/>
              </w:rPr>
              <w:t xml:space="preserve">FAIBLE</w:t>
            </w:r>
          </w:p>
        </w:tc>
        <w:tc>
          <w:tcPr>
            <w:tcW w:type="dxa" w:w="25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SII &lt; 2 : Panel optionnel.
SII ≥ 2 ou critère indépendant :
Glycémie, HbA1c, TSH, NFS, CRP hs, LDL, HDL</w:t>
            </w:r>
          </w:p>
        </w:tc>
        <w:tc>
          <w:tcPr>
            <w:tcW w:type="dxa" w:w="1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Conseils lifestyle. Réévaluation 3 ans.</w:t>
            </w:r>
          </w:p>
        </w:tc>
        <w:tc>
          <w:tcPr>
            <w:tcW w:type="dxa" w:w="21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6B3C"/>
                <w:sz w:val="17"/>
                <w:szCs w:val="17"/>
              </w:rPr>
              <w:t xml:space="preserve">P(obésité 10 ans) &lt; 8%</w:t>
            </w:r>
          </w:p>
        </w:tc>
      </w:tr>
      <w:tr>
        <w:tc>
          <w:tcPr>
            <w:tcW w:type="dxa" w:w="13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9"/>
                <w:szCs w:val="19"/>
              </w:rPr>
              <w:t xml:space="preserve">BMN-C 40–70</w:t>
            </w:r>
          </w:p>
        </w:tc>
        <w:tc>
          <w:tcPr>
            <w:tcW w:type="dxa" w:w="13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8"/>
                <w:szCs w:val="18"/>
              </w:rPr>
              <w:t xml:space="preserve">MODÉRÉ</w:t>
            </w:r>
          </w:p>
        </w:tc>
        <w:tc>
          <w:tcPr>
            <w:tcW w:type="dxa" w:w="25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Tier 2A (obligatoire) :
Glycémie, HbA1c, HOMA-IR, TSH, LDL, HDL, TG, CRP hs, NFS</w:t>
            </w:r>
          </w:p>
        </w:tc>
        <w:tc>
          <w:tcPr>
            <w:tcW w:type="dxa" w:w="18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Programme alimentation + AP. Suivi annuel.</w:t>
            </w:r>
          </w:p>
        </w:tc>
        <w:tc>
          <w:tcPr>
            <w:tcW w:type="dxa" w:w="2126"/>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P(obésité 10 ans) : 8–22%</w:t>
            </w:r>
          </w:p>
        </w:tc>
      </w:tr>
      <w:tr>
        <w:tc>
          <w:tcPr>
            <w:tcW w:type="dxa" w:w="13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9"/>
                <w:szCs w:val="19"/>
              </w:rPr>
              <w:t xml:space="preserve">BMN-C 71–100</w:t>
            </w:r>
          </w:p>
        </w:tc>
        <w:tc>
          <w:tcPr>
            <w:tcW w:type="dxa" w:w="13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8"/>
                <w:szCs w:val="18"/>
              </w:rPr>
              <w:t xml:space="preserve">ÉLEVÉ</w:t>
            </w:r>
          </w:p>
        </w:tc>
        <w:tc>
          <w:tcPr>
            <w:tcW w:type="dxa" w:w="25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Tier 2B (Tier 2A +) :
Insulinémie, ratio TG/HDL, ApoB, adiponectine, ASAT/ALAT, GGT, créatinine, acide urique</w:t>
            </w:r>
          </w:p>
        </w:tc>
        <w:tc>
          <w:tcPr>
            <w:tcW w:type="dxa" w:w="18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Médecin + diét. intensive. Suivi trimestriel. CTI + BMN-K.</w:t>
            </w:r>
          </w:p>
        </w:tc>
        <w:tc>
          <w:tcPr>
            <w:tcW w:type="dxa" w:w="2126"/>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P(obésité 10 ans) : 22–47%</w:t>
            </w:r>
          </w:p>
        </w:tc>
      </w:tr>
      <w:tr>
        <w:tc>
          <w:tcPr>
            <w:tcW w:type="dxa" w:w="13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9"/>
                <w:szCs w:val="19"/>
              </w:rPr>
              <w:t xml:space="preserve">BMN-C 101–130</w:t>
            </w:r>
          </w:p>
        </w:tc>
        <w:tc>
          <w:tcPr>
            <w:tcW w:type="dxa" w:w="13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TRÈS ÉLEVÉ</w:t>
            </w:r>
          </w:p>
        </w:tc>
        <w:tc>
          <w:tcPr>
            <w:tcW w:type="dxa" w:w="25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Tier 2C (Tier 2B +) :
Leptine, FibroScan/CAP, cortisol salivaire, SOPK femme (testostérone/AMH)</w:t>
            </w:r>
          </w:p>
        </w:tc>
        <w:tc>
          <w:tcPr>
            <w:tcW w:type="dxa" w:w="18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Médecin + endocrinologie si indiqué. GRI calculé. BMN-T consolidé.</w:t>
            </w:r>
          </w:p>
        </w:tc>
        <w:tc>
          <w:tcPr>
            <w:tcW w:type="dxa" w:w="21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7"/>
                <w:szCs w:val="17"/>
              </w:rPr>
              <w:t xml:space="preserve">P(obésité 10 ans) : 47–71%</w:t>
            </w:r>
          </w:p>
        </w:tc>
      </w:tr>
      <w:tr>
        <w:tc>
          <w:tcPr>
            <w:tcW w:type="dxa" w:w="13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9"/>
                <w:szCs w:val="19"/>
              </w:rPr>
              <w:t xml:space="preserve">BMN-C &gt; 130</w:t>
            </w:r>
          </w:p>
        </w:tc>
        <w:tc>
          <w:tcPr>
            <w:tcW w:type="dxa" w:w="13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CRITIQUE</w:t>
            </w:r>
          </w:p>
        </w:tc>
        <w:tc>
          <w:tcPr>
            <w:tcW w:type="dxa" w:w="25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Tier 2D (Tier 2C +) :
Génétique FTO, microbiote 16S ARNr (cohorte recherche), TDEE mesuré</w:t>
            </w:r>
          </w:p>
        </w:tc>
        <w:tc>
          <w:tcPr>
            <w:tcW w:type="dxa" w:w="18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Équipe multidisciplinaire. GLP-1 si GRI favorable. CTI chronicisation.</w:t>
            </w:r>
          </w:p>
        </w:tc>
        <w:tc>
          <w:tcPr>
            <w:tcW w:type="dxa" w:w="21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7"/>
                <w:szCs w:val="17"/>
              </w:rPr>
              <w:t xml:space="preserve">P(obésité 10 ans) : &gt; 71%</w:t>
            </w:r>
          </w:p>
        </w:tc>
      </w:tr>
    </w:tbl>
    <w:p>
      <w:pPr>
        <w:spacing w:before="50" w:after="50"/>
      </w:pPr>
      <w:r>
        <w:t xml:space="preserve"/>
      </w:r>
    </w:p>
    <w:p>
      <w:pPr>
        <w:pStyle w:val="Heading2"/>
        <w:pBdr>
          <w:bottom w:val="single" w:color="2E75B6" w:sz="3" w:space="4"/>
        </w:pBdr>
        <w:spacing w:before="260" w:after="120"/>
      </w:pPr>
      <w:r>
        <w:rPr>
          <w:rFonts w:ascii="Arial" w:cs="Arial" w:eastAsia="Arial" w:hAnsi="Arial"/>
          <w:b/>
          <w:bCs/>
          <w:color w:val="2E75B6"/>
          <w:sz w:val="26"/>
          <w:szCs w:val="26"/>
        </w:rPr>
        <w:t xml:space="preserve">3.4 Rétrovalidation Biologique — 6 Règles</w:t>
      </w:r>
    </w:p>
    <w:p>
      <w:pPr>
        <w:spacing w:before="80" w:after="80"/>
        <w:jc w:val="both"/>
      </w:pPr>
      <w:r>
        <w:rPr>
          <w:rFonts w:ascii="Arial" w:cs="Arial" w:eastAsia="Arial" w:hAnsi="Arial"/>
          <w:color w:val="1A1A1A"/>
          <w:sz w:val="22"/>
          <w:szCs w:val="22"/>
        </w:rPr>
        <w:t xml:space="preserve">La biologie corrige les incohérences déclaratives. Logique identique au Score BSD v4.9. La réalité biologique prime toujours.</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2500"/>
        <w:gridCol w:w="2200"/>
        <w:gridCol w:w="2226"/>
      </w:tblGrid>
      <w:tr>
        <w:tc>
          <w:tcPr>
            <w:tcW w:type="dxa" w:w="3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w:t>
            </w:r>
          </w:p>
        </w:tc>
        <w:tc>
          <w:tcPr>
            <w:tcW w:type="dxa" w:w="18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RÈGLE</w:t>
            </w:r>
          </w:p>
        </w:tc>
        <w:tc>
          <w:tcPr>
            <w:tcW w:type="dxa" w:w="25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CONDITION BIOLOGIQUE</w:t>
            </w:r>
          </w:p>
        </w:tc>
        <w:tc>
          <w:tcPr>
            <w:tcW w:type="dxa" w:w="22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ACTION CORRECTIVE</w:t>
            </w:r>
          </w:p>
        </w:tc>
        <w:tc>
          <w:tcPr>
            <w:tcW w:type="dxa" w:w="2226"/>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SOURCE</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1</w:t>
            </w:r>
          </w:p>
        </w:tc>
        <w:tc>
          <w:tcPr>
            <w:tcW w:type="dxa" w:w="1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HOMA-IR nié</w:t>
            </w:r>
          </w:p>
        </w:tc>
        <w:tc>
          <w:tcPr>
            <w:tcW w:type="dxa" w:w="25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HOMA-IR &gt; 4,0 sans traitement déclaré</w:t>
            </w:r>
          </w:p>
        </w:tc>
        <w:tc>
          <w:tcPr>
            <w:tcW w:type="dxa" w:w="2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Force BMN-K IR/DT2 max. Déclenche Panel 10.</w:t>
            </w:r>
          </w:p>
        </w:tc>
        <w:tc>
          <w:tcPr>
            <w:tcW w:type="dxa" w:w="22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Mühlenbruch 2014</w:t>
            </w:r>
          </w:p>
        </w:tc>
      </w:tr>
      <w:tr>
        <w:tc>
          <w:tcPr>
            <w:tcW w:type="dxa" w:w="3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2</w:t>
            </w:r>
          </w:p>
        </w:tc>
        <w:tc>
          <w:tcPr>
            <w:tcW w:type="dxa" w:w="1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Pré-diabète méconnu</w:t>
            </w:r>
          </w:p>
        </w:tc>
        <w:tc>
          <w:tcPr>
            <w:tcW w:type="dxa" w:w="25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HbA1c 5,7–6,4% non déclaré</w:t>
            </w:r>
          </w:p>
        </w:tc>
        <w:tc>
          <w:tcPr>
            <w:tcW w:type="dxa" w:w="2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Force pré-diabète BMN-K. Déclenche Panel 10.</w:t>
            </w:r>
          </w:p>
        </w:tc>
        <w:tc>
          <w:tcPr>
            <w:tcW w:type="dxa" w:w="22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ADA 2024</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3</w:t>
            </w:r>
          </w:p>
        </w:tc>
        <w:tc>
          <w:tcPr>
            <w:tcW w:type="dxa" w:w="1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DT2 non déclaré</w:t>
            </w:r>
          </w:p>
        </w:tc>
        <w:tc>
          <w:tcPr>
            <w:tcW w:type="dxa" w:w="25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HbA1c ≥ 6,5% sans antidiabétique</w:t>
            </w:r>
          </w:p>
        </w:tc>
        <w:tc>
          <w:tcPr>
            <w:tcW w:type="dxa" w:w="2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Force DT2 BMN-K. BMN-T minimum 60.</w:t>
            </w:r>
          </w:p>
        </w:tc>
        <w:tc>
          <w:tcPr>
            <w:tcW w:type="dxa" w:w="22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ADA 2024</w:t>
            </w:r>
          </w:p>
        </w:tc>
      </w:tr>
      <w:tr>
        <w:tc>
          <w:tcPr>
            <w:tcW w:type="dxa" w:w="3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4</w:t>
            </w:r>
          </w:p>
        </w:tc>
        <w:tc>
          <w:tcPr>
            <w:tcW w:type="dxa" w:w="1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Stéatose silencieuse</w:t>
            </w:r>
          </w:p>
        </w:tc>
        <w:tc>
          <w:tcPr>
            <w:tcW w:type="dxa" w:w="25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ASAT/ALAT &gt; 60 + GGT &gt; 50 + TG &gt; 1,7</w:t>
            </w:r>
          </w:p>
        </w:tc>
        <w:tc>
          <w:tcPr>
            <w:tcW w:type="dxa" w:w="2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Signal NAFLD probable. BMN-K activé.</w:t>
            </w:r>
          </w:p>
        </w:tc>
        <w:tc>
          <w:tcPr>
            <w:tcW w:type="dxa" w:w="22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Ballestri 2016</w:t>
            </w:r>
          </w:p>
        </w:tc>
      </w:tr>
      <w:tr>
        <w:tc>
          <w:tcPr>
            <w:tcW w:type="dxa" w:w="3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5</w:t>
            </w:r>
          </w:p>
        </w:tc>
        <w:tc>
          <w:tcPr>
            <w:tcW w:type="dxa" w:w="1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IR occulte</w:t>
            </w:r>
          </w:p>
        </w:tc>
        <w:tc>
          <w:tcPr>
            <w:tcW w:type="dxa" w:w="25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TG/HDL &gt; 3,5 + adiponectine &lt; 6 + HOMA-IR &gt; 2,5</w:t>
            </w:r>
          </w:p>
        </w:tc>
        <w:tc>
          <w:tcPr>
            <w:tcW w:type="dxa" w:w="2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Triade IR détectée. CTI amplifié. GRI positif.</w:t>
            </w:r>
          </w:p>
        </w:tc>
        <w:tc>
          <w:tcPr>
            <w:tcW w:type="dxa" w:w="22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McLaughlin 2017</w:t>
            </w:r>
          </w:p>
        </w:tc>
      </w:tr>
      <w:tr>
        <w:tc>
          <w:tcPr>
            <w:tcW w:type="dxa" w:w="3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6</w:t>
            </w:r>
          </w:p>
        </w:tc>
        <w:tc>
          <w:tcPr>
            <w:tcW w:type="dxa" w:w="1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Alcool caché</w:t>
            </w:r>
          </w:p>
        </w:tc>
        <w:tc>
          <w:tcPr>
            <w:tcW w:type="dxa" w:w="25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8"/>
                <w:szCs w:val="18"/>
              </w:rPr>
              <w:t xml:space="preserve">GGT &gt; 100 + ASAT/ALAT &gt; 1,5 (pattern hépatique)</w:t>
            </w:r>
          </w:p>
        </w:tc>
        <w:tc>
          <w:tcPr>
            <w:tcW w:type="dxa" w:w="2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Signal détecté. Seuils BMN-C réévalués.</w:t>
            </w:r>
          </w:p>
        </w:tc>
        <w:tc>
          <w:tcPr>
            <w:tcW w:type="dxa" w:w="22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Pattern hépatique</w:t>
            </w:r>
          </w:p>
        </w:tc>
      </w:tr>
    </w:tbl>
    <w:p>
      <w:pPr>
        <w:spacing w:before="50" w:after="50"/>
      </w:pPr>
      <w:r>
        <w:t xml:space="preserve"/>
      </w:r>
    </w:p>
    <w:p>
      <w:r>
        <w:br w:type="page"/>
      </w:r>
    </w:p>
    <w:p>
      <w:pPr>
        <w:pStyle w:val="Heading1"/>
        <w:pageBreakBefore/>
        <w:spacing w:before="400" w:after="200"/>
      </w:pPr>
      <w:r>
        <w:rPr>
          <w:rFonts w:ascii="Arial" w:cs="Arial" w:eastAsia="Arial" w:hAnsi="Arial"/>
          <w:b/>
          <w:bCs/>
          <w:color w:val="1B3A6B"/>
          <w:sz w:val="34"/>
          <w:szCs w:val="34"/>
        </w:rPr>
        <w:t xml:space="preserve">4. Module BMN-K — Comorbidités et Phénotypes Métaboliques</w:t>
      </w:r>
    </w:p>
    <w:p>
      <w:pPr>
        <w:pStyle w:val="Heading2"/>
        <w:pBdr>
          <w:bottom w:val="single" w:color="2E75B6" w:sz="3" w:space="4"/>
        </w:pBdr>
        <w:spacing w:before="260" w:after="120"/>
      </w:pPr>
      <w:r>
        <w:rPr>
          <w:rFonts w:ascii="Arial" w:cs="Arial" w:eastAsia="Arial" w:hAnsi="Arial"/>
          <w:b/>
          <w:bCs/>
          <w:color w:val="2E75B6"/>
          <w:sz w:val="26"/>
          <w:szCs w:val="26"/>
        </w:rPr>
        <w:t xml:space="preserve">4.1 Rationnel : Pourquoi un Module Comorbidités Dédié</w:t>
      </w:r>
    </w:p>
    <w:p>
      <w:pPr>
        <w:spacing w:before="80" w:after="80"/>
        <w:jc w:val="both"/>
      </w:pPr>
      <w:r>
        <w:rPr>
          <w:rFonts w:ascii="Arial" w:cs="Arial" w:eastAsia="Arial" w:hAnsi="Arial"/>
          <w:color w:val="1A1A1A"/>
          <w:sz w:val="22"/>
          <w:szCs w:val="22"/>
        </w:rPr>
        <w:t xml:space="preserve">Le Score BSD cardiovasculaire intègre les pathologies établies directement dans le score clinique C via le Garde-Fou dynamique (planchers par type d'ATCD × phase × Score de Contrôle Secondaire). Le Score BMN v2.0 adopte une logique plus granulaire : les comorbidités métaboliques constituent un module dédié (BMN-K) avec des OR/HR poolés propres, un impact documenté sur la chronicisation (CTI) et la réponse GLP-1 (GRI), et une table de risque de complications chiffrées.</w:t>
      </w:r>
    </w:p>
    <w:p>
      <w:pPr>
        <w:spacing w:before="50" w:after="50"/>
      </w:pPr>
      <w:r>
        <w:t xml:space="preserve"/>
      </w:r>
    </w:p>
    <w:tbl>
      <w:tblPr>
        <w:tblW w:type="dxa" w:w="9026"/>
        <w:tblBorders>
          <w:top w:val="single" w:color="C96A00" w:sz="4"/>
          <w:left w:val="single" w:color="C96A00" w:sz="14"/>
          <w:bottom w:val="single" w:color="C96A00" w:sz="4"/>
          <w:right w:val="single" w:color="CCCCCC" w:sz="1"/>
          <w:insideH w:val="single" w:color="auto" w:sz="4"/>
          <w:insideV w:val="single" w:color="auto" w:sz="4"/>
        </w:tblBorders>
      </w:tblPr>
      <w:tblGrid>
        <w:gridCol w:w="9026"/>
      </w:tblGrid>
      <w:tr>
        <w:tc>
          <w:tcPr>
            <w:tcW w:type="dxa" w:w="9026"/>
            <w:tcBorders>
              <w:top w:val="none"/>
              <w:left w:val="none"/>
              <w:bottom w:val="none"/>
              <w:right w:val="none"/>
            </w:tcBorders>
            <w:shd w:fill="FEF0DC" w:val="clear"/>
            <w:tcMar>
              <w:top w:type="dxa" w:w="90"/>
              <w:left w:type="dxa" w:w="180"/>
              <w:bottom w:type="dxa" w:w="90"/>
              <w:right w:type="dxa" w:w="180"/>
            </w:tcMar>
          </w:tcPr>
          <w:p>
            <w:pPr>
              <w:spacing w:before="30" w:after="50"/>
            </w:pPr>
            <w:r>
              <w:rPr>
                <w:rFonts w:ascii="Arial" w:cs="Arial" w:eastAsia="Arial" w:hAnsi="Arial"/>
                <w:b/>
                <w:bCs/>
                <w:color w:val="C96A00"/>
                <w:sz w:val="21"/>
                <w:szCs w:val="21"/>
              </w:rPr>
              <w:t xml:space="preserve">Comorbidity Floor — Analogue au Garde-Fou BSD</w:t>
            </w:r>
          </w:p>
          <w:p>
            <w:pPr>
              <w:spacing w:before="15" w:after="15"/>
            </w:pPr>
            <w:r>
              <w:rPr>
                <w:rFonts w:ascii="Arial" w:cs="Arial" w:eastAsia="Arial" w:hAnsi="Arial"/>
                <w:color w:val="1A1A1A"/>
                <w:sz w:val="20"/>
                <w:szCs w:val="20"/>
              </w:rPr>
              <w:t xml:space="preserve">Un patient avec DT2 établi + SOPK + NAFLD (BMN-K = 36) ne peut pas être classifié FAIBLE (BMN-T &lt; 40), même si son BMN-C est rassurant. Formule : Si BMN-K &gt; 30 ET BMN-T &lt; 40 → BMN-T = max(40, BMN-K × 0,80) = max(40, 28,8) = 40. Classification MODÉRÉ minimum garanti. Analogie exacte avec le plancher IDM en phase aiguë du BSD (BMN-T ≥ 40 pour toute comorbidité métabolique établie significative).</w:t>
            </w:r>
          </w:p>
        </w:tc>
      </w:tr>
    </w:tbl>
    <w:p>
      <w:pPr>
        <w:spacing w:before="50" w:after="50"/>
      </w:pPr>
      <w:r>
        <w:t xml:space="preserve"/>
      </w:r>
    </w:p>
    <w:p>
      <w:pPr>
        <w:pStyle w:val="Heading2"/>
        <w:pBdr>
          <w:bottom w:val="single" w:color="2E75B6" w:sz="3" w:space="4"/>
        </w:pBdr>
        <w:spacing w:before="260" w:after="120"/>
      </w:pPr>
      <w:r>
        <w:rPr>
          <w:rFonts w:ascii="Arial" w:cs="Arial" w:eastAsia="Arial" w:hAnsi="Arial"/>
          <w:b/>
          <w:bCs/>
          <w:color w:val="2E75B6"/>
          <w:sz w:val="26"/>
          <w:szCs w:val="26"/>
        </w:rPr>
        <w:t xml:space="preserve">4.2 Les 11 Comorbidités et Phénotypes BMN-K</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200"/>
        <w:gridCol w:w="1100"/>
        <w:gridCol w:w="3726"/>
      </w:tblGrid>
      <w:tr>
        <w:tc>
          <w:tcPr>
            <w:tcW w:type="dxa" w:w="19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COMORBIDITÉ / PHÉNOTYPE</w:t>
            </w:r>
          </w:p>
        </w:tc>
        <w:tc>
          <w:tcPr>
            <w:tcW w:type="dxa" w:w="11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OR/HR
Poolé</w:t>
            </w:r>
          </w:p>
        </w:tc>
        <w:tc>
          <w:tcPr>
            <w:tcW w:type="dxa" w:w="12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MÉTA-ANALYSE
SOURCE</w:t>
            </w:r>
          </w:p>
        </w:tc>
        <w:tc>
          <w:tcPr>
            <w:tcW w:type="dxa" w:w="11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SCORE
BMN-K</w:t>
            </w:r>
          </w:p>
        </w:tc>
        <w:tc>
          <w:tcPr>
            <w:tcW w:type="dxa" w:w="3726"/>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MÉCANISME + IMPACT CTI / GRI / COMPLICATIONS</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SAOS — Syndrome d'Apnée Obstructive</w:t>
            </w:r>
          </w:p>
        </w:tc>
        <w:tc>
          <w:tcPr>
            <w:tcW w:type="dxa" w:w="1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8"/>
                <w:szCs w:val="18"/>
              </w:rPr>
              <w:t xml:space="preserve">OR 2,19</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Appel Lancet 2009
N=80 000</w:t>
            </w:r>
          </w:p>
        </w:tc>
        <w:tc>
          <w:tcPr>
            <w:tcW w:type="dxa" w:w="1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K : 12 pts</w:t>
            </w:r>
          </w:p>
        </w:tc>
        <w:tc>
          <w:tcPr>
            <w:tcW w:type="dxa" w:w="37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Résistance insulinique via hypoxie intermittente. Cortisol nocturne élevé. CTI ×1,4. Risque DT2 ×2,0. Risque HTA ×1,5. CPAP obligatoire.</w:t>
            </w:r>
          </w:p>
        </w:tc>
      </w:tr>
      <w:tr>
        <w:tc>
          <w:tcPr>
            <w:tcW w:type="dxa" w:w="1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SOPK — Syndrome Ovaires Polykystiques (femme)</w:t>
            </w:r>
          </w:p>
        </w:tc>
        <w:tc>
          <w:tcPr>
            <w:tcW w:type="dxa" w:w="1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8"/>
                <w:szCs w:val="18"/>
              </w:rPr>
              <w:t xml:space="preserve">OR 2,77</w:t>
            </w:r>
          </w:p>
        </w:tc>
        <w:tc>
          <w:tcPr>
            <w:tcW w:type="dxa" w:w="1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Lim Obesity Rev. 2019
N=44 000</w:t>
            </w:r>
          </w:p>
        </w:tc>
        <w:tc>
          <w:tcPr>
            <w:tcW w:type="dxa" w:w="1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K : 14 pts</w:t>
            </w:r>
          </w:p>
        </w:tc>
        <w:tc>
          <w:tcPr>
            <w:tcW w:type="dxa" w:w="37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Phénotype IR féminin. Hyperandrogénie + insulino-résistance. GRI très favorable ×2,0. Risque DT2 ×4,0. Risque obésité viscérale ×2,5. Cible GLP-1 prioritaire.</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NAFLD / MAFLD — Stéatose hépatique</w:t>
            </w:r>
          </w:p>
        </w:tc>
        <w:tc>
          <w:tcPr>
            <w:tcW w:type="dxa" w:w="1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8"/>
                <w:szCs w:val="18"/>
              </w:rPr>
              <w:t xml:space="preserve">OR 3,22</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Ballestri 2016
N=34 000</w:t>
            </w:r>
          </w:p>
        </w:tc>
        <w:tc>
          <w:tcPr>
            <w:tcW w:type="dxa" w:w="1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K : 10 pts</w:t>
            </w:r>
          </w:p>
        </w:tc>
        <w:tc>
          <w:tcPr>
            <w:tcW w:type="dxa" w:w="37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Marqueur d'IR hépatique. CAP ≥ 238 dB/m. Risque DT2 ×2,5. Risque CV ×1,8. GRI favorable. Anti-double-comptage BMN-B.</w:t>
            </w:r>
          </w:p>
        </w:tc>
      </w:tr>
      <w:tr>
        <w:tc>
          <w:tcPr>
            <w:tcW w:type="dxa" w:w="1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HTA — Hypertension artérielle</w:t>
            </w:r>
          </w:p>
        </w:tc>
        <w:tc>
          <w:tcPr>
            <w:tcW w:type="dxa" w:w="1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8"/>
                <w:szCs w:val="18"/>
              </w:rPr>
              <w:t xml:space="preserve">HR 2,24</w:t>
            </w:r>
          </w:p>
        </w:tc>
        <w:tc>
          <w:tcPr>
            <w:tcW w:type="dxa" w:w="1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Mills Lancet 2020
N=1 280 000</w:t>
            </w:r>
          </w:p>
        </w:tc>
        <w:tc>
          <w:tcPr>
            <w:tcW w:type="dxa" w:w="1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K : 10 pts</w:t>
            </w:r>
          </w:p>
        </w:tc>
        <w:tc>
          <w:tcPr>
            <w:tcW w:type="dxa" w:w="37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Complication obésité viscérale ET facteur aggravant. Multiplicateur ethnique : Africain ×1,5, Créole ×1,4. Cible TA &lt; 130/80.</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DT2 — Diabète type 2 établi</w:t>
            </w:r>
          </w:p>
        </w:tc>
        <w:tc>
          <w:tcPr>
            <w:tcW w:type="dxa" w:w="1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8"/>
                <w:szCs w:val="18"/>
              </w:rPr>
              <w:t xml:space="preserve">HR 3,84</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Mühlenbruch 2014
N=218 000</w:t>
            </w:r>
          </w:p>
        </w:tc>
        <w:tc>
          <w:tcPr>
            <w:tcW w:type="dxa" w:w="1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K : 14 pts</w:t>
            </w:r>
          </w:p>
        </w:tc>
        <w:tc>
          <w:tcPr>
            <w:tcW w:type="dxa" w:w="37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Complication ET marqueur IR sévère. Perte EV 8,9 ans non traité. GRI très favorable si HOMA-IR &gt; 4. CTI ×1,8.</w:t>
            </w:r>
          </w:p>
        </w:tc>
      </w:tr>
      <w:tr>
        <w:tc>
          <w:tcPr>
            <w:tcW w:type="dxa" w:w="1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Pré-diabète confirmé (IFG / IGT)</w:t>
            </w:r>
          </w:p>
        </w:tc>
        <w:tc>
          <w:tcPr>
            <w:tcW w:type="dxa" w:w="1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8"/>
                <w:szCs w:val="18"/>
              </w:rPr>
              <w:t xml:space="preserve">HR 2,11</w:t>
            </w:r>
          </w:p>
        </w:tc>
        <w:tc>
          <w:tcPr>
            <w:tcW w:type="dxa" w:w="1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Huang 2016
N=760 000</w:t>
            </w:r>
          </w:p>
        </w:tc>
        <w:tc>
          <w:tcPr>
            <w:tcW w:type="dxa" w:w="1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K : 8 pts</w:t>
            </w:r>
          </w:p>
        </w:tc>
        <w:tc>
          <w:tcPr>
            <w:tcW w:type="dxa" w:w="37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Réversible : DPP −58% avec lifestyle. GRI favorable. BMN-T cible thérapeutique prioritaire.</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Hypothyroïdie sub-clinique (TSH &gt; 4,0)</w:t>
            </w:r>
          </w:p>
        </w:tc>
        <w:tc>
          <w:tcPr>
            <w:tcW w:type="dxa" w:w="1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8"/>
                <w:szCs w:val="18"/>
              </w:rPr>
              <w:t xml:space="preserve">OR 1,74</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Duntas Thyroid 2013
N=68 000</w:t>
            </w:r>
          </w:p>
        </w:tc>
        <w:tc>
          <w:tcPr>
            <w:tcW w:type="dxa" w:w="1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K : 6 pts</w:t>
            </w:r>
          </w:p>
        </w:tc>
        <w:tc>
          <w:tcPr>
            <w:tcW w:type="dxa" w:w="37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Métabolisme basal réduit 10–15%. CTI ×1,3. Traitement simple : lévothyroxine. Souvent méconnu.</w:t>
            </w:r>
          </w:p>
        </w:tc>
      </w:tr>
      <w:tr>
        <w:tc>
          <w:tcPr>
            <w:tcW w:type="dxa" w:w="1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Phénotype MONW (obèse métabo. poids normal)</w:t>
            </w:r>
          </w:p>
        </w:tc>
        <w:tc>
          <w:tcPr>
            <w:tcW w:type="dxa" w:w="1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8"/>
                <w:szCs w:val="18"/>
              </w:rPr>
              <w:t xml:space="preserve">OR 2,38</w:t>
            </w:r>
          </w:p>
        </w:tc>
        <w:tc>
          <w:tcPr>
            <w:tcW w:type="dxa" w:w="1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Lim Obesity 2019
Meta 8 études</w:t>
            </w:r>
          </w:p>
        </w:tc>
        <w:tc>
          <w:tcPr>
            <w:tcW w:type="dxa" w:w="1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K : 10 pts</w:t>
            </w:r>
          </w:p>
        </w:tc>
        <w:tc>
          <w:tcPr>
            <w:tcW w:type="dxa" w:w="37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IMC &lt; 25 mais ≥ 2 critères MetS. Profil idéal GLP-1. GRI maximal. Sous-diagnostiqué.</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Syndrome métabolique complet (≥ 3 critères IDF)</w:t>
            </w:r>
          </w:p>
        </w:tc>
        <w:tc>
          <w:tcPr>
            <w:tcW w:type="dxa" w:w="1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8"/>
                <w:szCs w:val="18"/>
              </w:rPr>
              <w:t xml:space="preserve">HR 2,64</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Mottillo Lancet 2010
43 études</w:t>
            </w:r>
          </w:p>
        </w:tc>
        <w:tc>
          <w:tcPr>
            <w:tcW w:type="dxa" w:w="1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K : 12 pts</w:t>
            </w:r>
          </w:p>
        </w:tc>
        <w:tc>
          <w:tcPr>
            <w:tcW w:type="dxa" w:w="37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Cluster IR. Risque CV ×2,35. Risque DT2 ×5,0. Urgence thérapeutique multimodale.</w:t>
            </w:r>
          </w:p>
        </w:tc>
      </w:tr>
      <w:tr>
        <w:tc>
          <w:tcPr>
            <w:tcW w:type="dxa" w:w="1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Dépression traitée (antidépresseurs)</w:t>
            </w:r>
          </w:p>
        </w:tc>
        <w:tc>
          <w:tcPr>
            <w:tcW w:type="dxa" w:w="1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8"/>
                <w:szCs w:val="18"/>
              </w:rPr>
              <w:t xml:space="preserve">OR 1,58</w:t>
            </w:r>
          </w:p>
        </w:tc>
        <w:tc>
          <w:tcPr>
            <w:tcW w:type="dxa" w:w="12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Luppino 2010
N=55 000</w:t>
            </w:r>
          </w:p>
        </w:tc>
        <w:tc>
          <w:tcPr>
            <w:tcW w:type="dxa" w:w="1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K : 6 pts</w:t>
            </w:r>
          </w:p>
        </w:tc>
        <w:tc>
          <w:tcPr>
            <w:tcW w:type="dxa" w:w="37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Relation bidirectionnelle obésité-dépression. Paroxétine/mirtazapine = prise de poids. CTI via cortisol.</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Corticoïdes long cours (&gt; 3 mois)</w:t>
            </w:r>
          </w:p>
        </w:tc>
        <w:tc>
          <w:tcPr>
            <w:tcW w:type="dxa" w:w="1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8"/>
                <w:szCs w:val="18"/>
              </w:rPr>
              <w:t xml:space="preserve">HR 2,12</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Fardet BMJ 2014
N=275 000</w:t>
            </w:r>
          </w:p>
        </w:tc>
        <w:tc>
          <w:tcPr>
            <w:tcW w:type="dxa" w:w="1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8"/>
                <w:szCs w:val="18"/>
              </w:rPr>
              <w:t xml:space="preserve">K : 8 pts</w:t>
            </w:r>
          </w:p>
        </w:tc>
        <w:tc>
          <w:tcPr>
            <w:tcW w:type="dxa" w:w="37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Adipogenèse viscérale cortico-induite. IR iatrogène. CTI ×1,6. Risque DT2 stéroïdien.</w:t>
            </w:r>
          </w:p>
        </w:tc>
      </w:tr>
    </w:tbl>
    <w:p>
      <w:pPr>
        <w:spacing w:before="50" w:after="50"/>
      </w:pPr>
      <w:r>
        <w:t xml:space="preserve"/>
      </w:r>
    </w:p>
    <w:p>
      <w:pPr>
        <w:pStyle w:val="Heading2"/>
        <w:pBdr>
          <w:bottom w:val="single" w:color="2E75B6" w:sz="3" w:space="4"/>
        </w:pBdr>
        <w:spacing w:before="260" w:after="120"/>
      </w:pPr>
      <w:r>
        <w:rPr>
          <w:rFonts w:ascii="Arial" w:cs="Arial" w:eastAsia="Arial" w:hAnsi="Arial"/>
          <w:b/>
          <w:bCs/>
          <w:color w:val="2E75B6"/>
          <w:sz w:val="26"/>
          <w:szCs w:val="26"/>
        </w:rPr>
        <w:t xml:space="preserve">4.3 Table de Risque de Complications par Profil de Comorbidité</w:t>
      </w:r>
    </w:p>
    <w:p>
      <w:pPr>
        <w:spacing w:before="80" w:after="80"/>
        <w:jc w:val="both"/>
      </w:pPr>
      <w:r>
        <w:rPr>
          <w:rFonts w:ascii="Arial" w:cs="Arial" w:eastAsia="Arial" w:hAnsi="Arial"/>
          <w:color w:val="1A1A1A"/>
          <w:sz w:val="22"/>
          <w:szCs w:val="22"/>
        </w:rPr>
        <w:t xml:space="preserve">Probabilités absolues DT2 à 10 ans et risques relatifs cardiovasculaires et HTA. Outil de communication directe médecin-patient sur la trajectoire de risque individuelle.</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3426"/>
      </w:tblGrid>
      <w:tr>
        <w:tc>
          <w:tcPr>
            <w:tcW w:type="dxa" w:w="20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PROFIL DE COMORBIDITÉ</w:t>
            </w:r>
          </w:p>
        </w:tc>
        <w:tc>
          <w:tcPr>
            <w:tcW w:type="dxa" w:w="9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Risque DT2
10 ans</w:t>
            </w:r>
          </w:p>
        </w:tc>
        <w:tc>
          <w:tcPr>
            <w:tcW w:type="dxa" w:w="9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RR
DT2</w:t>
            </w:r>
          </w:p>
        </w:tc>
        <w:tc>
          <w:tcPr>
            <w:tcW w:type="dxa" w:w="9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RR
CV</w:t>
            </w:r>
          </w:p>
        </w:tc>
        <w:tc>
          <w:tcPr>
            <w:tcW w:type="dxa" w:w="9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RR
HTA</w:t>
            </w:r>
          </w:p>
        </w:tc>
        <w:tc>
          <w:tcPr>
            <w:tcW w:type="dxa" w:w="3426"/>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STRATÉGIE THÉRAPEUTIQUE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Obésité viscérale (TC &gt; seuil + 2 critères MetS)</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7"/>
                <w:szCs w:val="17"/>
              </w:rPr>
              <w:t xml:space="preserve">45–70%</w:t>
            </w:r>
          </w:p>
        </w:tc>
        <w:tc>
          <w:tcPr>
            <w:tcW w:type="dxa" w:w="9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×2,3</w:t>
            </w:r>
          </w:p>
        </w:tc>
        <w:tc>
          <w:tcPr>
            <w:tcW w:type="dxa" w:w="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×1,8</w:t>
            </w:r>
          </w:p>
        </w:tc>
        <w:tc>
          <w:tcPr>
            <w:tcW w:type="dxa" w:w="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×2,0</w:t>
            </w:r>
          </w:p>
        </w:tc>
        <w:tc>
          <w:tcPr>
            <w:tcW w:type="dxa" w:w="34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Fenêtre prioritaire. Adiposité viscérale = précurseur universel complications métaboliques.</w:t>
            </w:r>
          </w:p>
        </w:tc>
      </w:tr>
      <w:tr>
        <w:tc>
          <w:tcPr>
            <w:tcW w:type="dxa" w:w="20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SOPK non traité (femme &lt; 45 ans)</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7"/>
                <w:szCs w:val="17"/>
              </w:rPr>
              <w:t xml:space="preserve">35–55%</w:t>
            </w:r>
          </w:p>
        </w:tc>
        <w:tc>
          <w:tcPr>
            <w:tcW w:type="dxa" w:w="9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×4,0</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×1,4</w:t>
            </w:r>
          </w:p>
        </w:tc>
        <w:tc>
          <w:tcPr>
            <w:tcW w:type="dxa" w:w="34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GLP-1 très efficace. GRI excellent. Metformine + sitagliptine en 1ère intention.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SAOS sévère non traité (IAH &gt; 30)</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7"/>
                <w:szCs w:val="17"/>
              </w:rPr>
              <w:t xml:space="preserve">30–50%</w:t>
            </w:r>
          </w:p>
        </w:tc>
        <w:tc>
          <w:tcPr>
            <w:tcW w:type="dxa" w:w="9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×2,0</w:t>
            </w:r>
          </w:p>
        </w:tc>
        <w:tc>
          <w:tcPr>
            <w:tcW w:type="dxa" w:w="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×1,7</w:t>
            </w:r>
          </w:p>
        </w:tc>
        <w:tc>
          <w:tcPr>
            <w:tcW w:type="dxa" w:w="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×1,5</w:t>
            </w:r>
          </w:p>
        </w:tc>
        <w:tc>
          <w:tcPr>
            <w:tcW w:type="dxa" w:w="34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CPAP réduit HbA1c −0,4%. Composante obligatoire de toute prise en charge.</w:t>
            </w:r>
          </w:p>
        </w:tc>
      </w:tr>
      <w:tr>
        <w:tc>
          <w:tcPr>
            <w:tcW w:type="dxa" w:w="20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Pré-diabète (IFG + HOMA-IR &gt; 2,5)</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7"/>
                <w:szCs w:val="17"/>
              </w:rPr>
              <w:t xml:space="preserve">60–80%</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×1,3</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34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DPP −58% avec lifestyle. GLP-1 ou metformine si BMN-T &gt; 100.</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NAFLD/MAFLD (CAP ≥ 238 + fibrose)</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7"/>
                <w:szCs w:val="17"/>
              </w:rPr>
              <w:t xml:space="preserve">25–40%</w:t>
            </w:r>
          </w:p>
        </w:tc>
        <w:tc>
          <w:tcPr>
            <w:tcW w:type="dxa" w:w="9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×2,5</w:t>
            </w:r>
          </w:p>
        </w:tc>
        <w:tc>
          <w:tcPr>
            <w:tcW w:type="dxa" w:w="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×1,8</w:t>
            </w:r>
          </w:p>
        </w:tc>
        <w:tc>
          <w:tcPr>
            <w:tcW w:type="dxa" w:w="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34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GLP-1RA réduit stéatose indépendamment du poids. Cible hépatique directe.</w:t>
            </w:r>
          </w:p>
        </w:tc>
      </w:tr>
      <w:tr>
        <w:tc>
          <w:tcPr>
            <w:tcW w:type="dxa" w:w="20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Phénotype MONW (IMC &lt; 25 + MetS)</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7"/>
                <w:szCs w:val="17"/>
              </w:rPr>
              <w:t xml:space="preserve">50–70%</w:t>
            </w:r>
          </w:p>
        </w:tc>
        <w:tc>
          <w:tcPr>
            <w:tcW w:type="dxa" w:w="9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×2,0</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34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Sous-diagnostiqué. BMN-K élevé malgré IMC normal. Alarme systémique.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Syndrome métabolique complet (≥ 3 critères)</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7"/>
                <w:szCs w:val="17"/>
              </w:rPr>
              <w:t xml:space="preserve">70–90%</w:t>
            </w:r>
          </w:p>
        </w:tc>
        <w:tc>
          <w:tcPr>
            <w:tcW w:type="dxa" w:w="9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×5,0</w:t>
            </w:r>
          </w:p>
        </w:tc>
        <w:tc>
          <w:tcPr>
            <w:tcW w:type="dxa" w:w="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×2,4</w:t>
            </w:r>
          </w:p>
        </w:tc>
        <w:tc>
          <w:tcPr>
            <w:tcW w:type="dxa" w:w="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34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Urgence thérapeutique. Traitement multimodal. GLP-1 + lifestyle structuré.</w:t>
            </w:r>
          </w:p>
        </w:tc>
      </w:tr>
      <w:tr>
        <w:tc>
          <w:tcPr>
            <w:tcW w:type="dxa" w:w="20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Hypothyroïdie sub-clinique non traitée</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7"/>
                <w:szCs w:val="17"/>
              </w:rPr>
              <w:t xml:space="preserve">20–35%</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×1,2</w:t>
            </w:r>
          </w:p>
        </w:tc>
        <w:tc>
          <w:tcPr>
            <w:tcW w:type="dxa" w:w="34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TSH normalisée → perte pondérale facilitée. Traiter si TSH &gt; 4 + IMC &gt; 25.</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Corticothérapie long cours (&gt; 3 mois)</w:t>
            </w:r>
          </w:p>
        </w:tc>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C0392B"/>
                <w:sz w:val="17"/>
                <w:szCs w:val="17"/>
              </w:rPr>
              <w:t xml:space="preserve">40–60%</w:t>
            </w:r>
          </w:p>
        </w:tc>
        <w:tc>
          <w:tcPr>
            <w:tcW w:type="dxa" w:w="9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×3,0</w:t>
            </w:r>
          </w:p>
        </w:tc>
        <w:tc>
          <w:tcPr>
            <w:tcW w:type="dxa" w:w="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bCs/>
                <w:i w:val="false"/>
                <w:iCs w:val="false"/>
                <w:color w:val="C96A00"/>
                <w:sz w:val="17"/>
                <w:szCs w:val="17"/>
              </w:rPr>
              <w:t xml:space="preserve">×1,6</w:t>
            </w:r>
          </w:p>
        </w:tc>
        <w:tc>
          <w:tcPr>
            <w:tcW w:type="dxa" w:w="9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34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Substitution si possible. Metformine préventive. Suivi glycémique trimestriel.</w:t>
            </w:r>
          </w:p>
        </w:tc>
      </w:tr>
      <w:tr>
        <w:tc>
          <w:tcPr>
            <w:tcW w:type="dxa" w:w="20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CTI &gt; 55 (obésité chronique établie)</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777777"/>
                <w:sz w:val="17"/>
                <w:szCs w:val="17"/>
              </w:rPr>
              <w:t xml:space="preserve">—</w:t>
            </w:r>
          </w:p>
        </w:tc>
        <w:tc>
          <w:tcPr>
            <w:tcW w:type="dxa" w:w="34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Fenêtre FERMÉE. Chirurgie bariatrique à évaluer obligatoirement. GLP-1 insuffisant seul.</w:t>
            </w:r>
          </w:p>
        </w:tc>
      </w:tr>
    </w:tbl>
    <w:p>
      <w:pPr>
        <w:spacing w:before="50" w:after="50"/>
      </w:pPr>
      <w:r>
        <w:t xml:space="preserve"/>
      </w:r>
    </w:p>
    <w:p>
      <w:pPr>
        <w:pBdr>
          <w:left w:val="single" w:color="2E75B6" w:sz="8" w:space="10"/>
        </w:pBdr>
        <w:spacing w:before="100" w:after="100"/>
        <w:ind w:left="180"/>
      </w:pPr>
      <w:r>
        <w:rPr>
          <w:rFonts w:ascii="Arial" w:cs="Arial" w:eastAsia="Arial" w:hAnsi="Arial"/>
          <w:i/>
          <w:iCs/>
          <w:color w:val="444444"/>
          <w:sz w:val="20"/>
          <w:szCs w:val="20"/>
        </w:rPr>
        <w:t xml:space="preserve">RR = Risque Relatif par rapport à population non-obèse sans comorbidité. Probabilités DT2 absolues estimées depuis les méta-analyses citées, modulées par âge (&lt; 50 ans) et ethnie (diabRisk × 2,0 pour Indo-Mauriciens et Sud-Asiatiques).</w:t>
      </w:r>
    </w:p>
    <w:p>
      <w:pPr>
        <w:spacing w:before="50" w:after="50"/>
      </w:pPr>
      <w:r>
        <w:t xml:space="preserve"/>
      </w:r>
    </w:p>
    <w:p>
      <w:r>
        <w:br w:type="page"/>
      </w:r>
    </w:p>
    <w:p>
      <w:pPr>
        <w:pStyle w:val="Heading1"/>
        <w:pageBreakBefore/>
        <w:spacing w:before="400" w:after="200"/>
      </w:pPr>
      <w:r>
        <w:rPr>
          <w:rFonts w:ascii="Arial" w:cs="Arial" w:eastAsia="Arial" w:hAnsi="Arial"/>
          <w:b/>
          <w:bCs/>
          <w:color w:val="1B3A6B"/>
          <w:sz w:val="34"/>
          <w:szCs w:val="34"/>
        </w:rPr>
        <w:t xml:space="preserve">5. Pondération Dynamique Tri-Source</w:t>
      </w:r>
    </w:p>
    <w:p>
      <w:pPr>
        <w:pStyle w:val="Heading2"/>
        <w:pBdr>
          <w:bottom w:val="single" w:color="2E75B6" w:sz="3" w:space="4"/>
        </w:pBdr>
        <w:spacing w:before="260" w:after="120"/>
      </w:pPr>
      <w:r>
        <w:rPr>
          <w:rFonts w:ascii="Arial" w:cs="Arial" w:eastAsia="Arial" w:hAnsi="Arial"/>
          <w:b/>
          <w:bCs/>
          <w:color w:val="2E75B6"/>
          <w:sz w:val="26"/>
          <w:szCs w:val="26"/>
        </w:rPr>
        <w:t xml:space="preserve">5.1 Validation par Cas Extrêmes</w:t>
      </w:r>
    </w:p>
    <w:p>
      <w:pPr>
        <w:spacing w:before="50" w:after="50"/>
      </w:pPr>
      <w:r>
        <w:t xml:space="preserve"/>
      </w:r>
    </w:p>
    <w:tbl>
      <w:tblPr>
        <w:tblW w:type="dxa" w:w="9026"/>
        <w:tblBorders>
          <w:top w:val="single" w:color="2E75B6" w:sz="4"/>
          <w:left w:val="single" w:color="1B3A6B" w:sz="12"/>
          <w:bottom w:val="single" w:color="2E75B6" w:sz="4"/>
          <w:right w:val="single" w:color="CCCCCC" w:sz="1"/>
          <w:insideH w:val="single" w:color="auto" w:sz="4"/>
          <w:insideV w:val="single" w:color="auto" w:sz="4"/>
        </w:tblBorders>
      </w:tblPr>
      <w:tblGrid>
        <w:gridCol w:w="9026"/>
      </w:tblGrid>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VALIDATION PAR CAS EXTRÊMES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Profil                   | BMN-C | Bio | BMN-K | BMN-T | Classif.  | Cohérent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Tout normal              |  15   |  8  |   5   |  12   | FAIBLE    |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Moyen équilibré          |  45   | 50  |  15   |  47   | MODÉRÉ    |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Bio critique, décl. bon  |  35   | 94  |  10   |  80   | TRÈS ÉL.  | ✓ (bioFloor)</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SOPK + HbA1c 6,1%        |  38   | 55  |  32   |  48   | MODÉRÉ    | ✓ (combFloor)</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DT2 + SAOS + NAFLD       |  60   | 70  |  45   |  71   | ÉLEVÉ     |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Tout catastrophique      |  85   | 95  |  48   |  89   | TRÈS ÉL.  |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PONDÉRATION DYNAMIQUE DÉTAILLÉE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GAP ≤ 20 → w_B=0,30, w_C=0,55, w_K=0,15  (standard)</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GAP 20–40 → w_B monte à ~0,38, w_C descend à ~0,47</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GAP 40–60 → w_B monte à ~0,45, w_C descend à ~0,40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GAP 60–80 → w_B monte à ~0,53, w_C descend à ~0,32</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GAP &gt; 80  → w_B = 0,60 (max), w_C = 0,25 (min), w_K = 0,15</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BIOFLOOR + COMORBIDITY FLOOR : mécanismes de sécurité cumulatifs.</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Le premier applicable s'applique. Si les deux sont actifs simultanément,</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le plancher le plus élevé prévaut.</w:t>
            </w:r>
          </w:p>
        </w:tc>
      </w:tr>
    </w:tbl>
    <w:p>
      <w:pPr>
        <w:spacing w:before="50" w:after="50"/>
      </w:pPr>
      <w:r>
        <w:t xml:space="preserve"/>
      </w:r>
    </w:p>
    <w:p>
      <w:r>
        <w:br w:type="page"/>
      </w:r>
    </w:p>
    <w:p>
      <w:pPr>
        <w:pStyle w:val="Heading1"/>
        <w:pageBreakBefore/>
        <w:spacing w:before="400" w:after="200"/>
      </w:pPr>
      <w:r>
        <w:rPr>
          <w:rFonts w:ascii="Arial" w:cs="Arial" w:eastAsia="Arial" w:hAnsi="Arial"/>
          <w:b/>
          <w:bCs/>
          <w:color w:val="1B3A6B"/>
          <w:sz w:val="34"/>
          <w:szCs w:val="34"/>
        </w:rPr>
        <w:t xml:space="preserve">6. Indice de Chronicisation (CTI)</w:t>
      </w:r>
    </w:p>
    <w:p>
      <w:pPr>
        <w:pStyle w:val="Heading2"/>
        <w:pBdr>
          <w:bottom w:val="single" w:color="2E75B6" w:sz="3" w:space="4"/>
        </w:pBdr>
        <w:spacing w:before="260" w:after="120"/>
      </w:pPr>
      <w:r>
        <w:rPr>
          <w:rFonts w:ascii="Arial" w:cs="Arial" w:eastAsia="Arial" w:hAnsi="Arial"/>
          <w:b/>
          <w:bCs/>
          <w:color w:val="2E75B6"/>
          <w:sz w:val="26"/>
          <w:szCs w:val="26"/>
        </w:rPr>
        <w:t xml:space="preserve">6.1 Mécanismes et Amplificateurs par Comorbidité</w:t>
      </w:r>
    </w:p>
    <w:p>
      <w:pPr>
        <w:spacing w:before="50" w:after="50"/>
      </w:pPr>
      <w:r>
        <w:t xml:space="preserve"/>
      </w:r>
    </w:p>
    <w:tbl>
      <w:tblPr>
        <w:tblW w:type="dxa" w:w="9026"/>
        <w:tblBorders>
          <w:top w:val="single" w:color="2E75B6" w:sz="4"/>
          <w:left w:val="single" w:color="1B3A6B" w:sz="12"/>
          <w:bottom w:val="single" w:color="2E75B6" w:sz="4"/>
          <w:right w:val="single" w:color="CCCCCC" w:sz="1"/>
          <w:insideH w:val="single" w:color="auto" w:sz="4"/>
          <w:insideV w:val="single" w:color="auto" w:sz="4"/>
        </w:tblBorders>
      </w:tblPr>
      <w:tblGrid>
        <w:gridCol w:w="9026"/>
      </w:tblGrid>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FORMULE CTI v2.0 — AVEC AMPLIFICATEURS COMORBIDITÉS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CTI = Σ [ γ_j × Z_j ]  ×  max(amplificateur_comorbidité)</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Coefficients γ_j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γ_1 : Durée surpoids cumulée           = 0,185  [Leibel NEJM 1995]</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γ_2 : Yo-Yo ≥ 3 cycles                = 0,249  [Mackie 2017 × 0,75]</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γ_3 : Résistance leptine / hyperleptinémie = 0,210  [Kadowaki Nat Med 2012]</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γ_4 : Ratio Firmicutes/Bacteroidetes   = 0,180  [Turnbaugh Nature 2006]</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γ_5 : Cortisol salivaire nocturne élevé= 0,195  [Champaneri 2013 × 0,75]</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γ_6 : Métabolisme basal abaissé (%)    = 0,200  [Sumithran NEJM 2011]</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γ_7 : Obésité dans l'enfance (&lt; 12 ans)= 0,240  [Simmonds Lancet 2016]</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Amplificateurs par comorbidité (v2.0)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SAOS sévère non traité (IAH &gt; 30)  → CTI × 1,40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DT2 établi (HOMA-IR &gt; 4)           → CTI × 1,80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Corticoïdes long cours (&gt; 3 mois)  → CTI × 1,60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Hypothyroïdie sub-clinique         → CTI × 1,30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SOPK non traité (femme)            → CTI × 1,20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[Amplificateurs non cumulatifs — seul le plus élevé s'applique]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CTI normalisé sur 100.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CTI  0–20 : Fenêtre thérapeutique OUVERTE. Réversibilité élevée.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CTI 21–40 : Chronicisation débutante. Intervention urgente.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CTI 41–55 : Chronicisation avancée. Fenêtre se ferme.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CTI &gt; 55  : Obésité chronique établie → chirurgie bariatrique obligatoire.</w:t>
            </w:r>
          </w:p>
        </w:tc>
      </w:tr>
    </w:tbl>
    <w:p>
      <w:pPr>
        <w:spacing w:before="50" w:after="50"/>
      </w:pPr>
      <w:r>
        <w:t xml:space="preserve"/>
      </w:r>
    </w:p>
    <w:p>
      <w:r>
        <w:br w:type="page"/>
      </w:r>
    </w:p>
    <w:p>
      <w:pPr>
        <w:pStyle w:val="Heading1"/>
        <w:pageBreakBefore/>
        <w:spacing w:before="400" w:after="200"/>
      </w:pPr>
      <w:r>
        <w:rPr>
          <w:rFonts w:ascii="Arial" w:cs="Arial" w:eastAsia="Arial" w:hAnsi="Arial"/>
          <w:b/>
          <w:bCs/>
          <w:color w:val="1B3A6B"/>
          <w:sz w:val="34"/>
          <w:szCs w:val="34"/>
        </w:rPr>
        <w:t xml:space="preserve">7. Indice de Réponse aux GLP-1 (GRI v2.0)</w:t>
      </w:r>
    </w:p>
    <w:p>
      <w:pPr>
        <w:pStyle w:val="Heading2"/>
        <w:pBdr>
          <w:bottom w:val="single" w:color="2E75B6" w:sz="3" w:space="4"/>
        </w:pBdr>
        <w:spacing w:before="260" w:after="120"/>
      </w:pPr>
      <w:r>
        <w:rPr>
          <w:rFonts w:ascii="Arial" w:cs="Arial" w:eastAsia="Arial" w:hAnsi="Arial"/>
          <w:b/>
          <w:bCs/>
          <w:color w:val="2E75B6"/>
          <w:sz w:val="26"/>
          <w:szCs w:val="26"/>
        </w:rPr>
        <w:t xml:space="preserve">7.1 Intégration Comorbidités comme Prédicteurs de Réponse</w:t>
      </w:r>
    </w:p>
    <w:tbl>
      <w:tblPr>
        <w:tblW w:type="dxa" w:w="9026"/>
        <w:tblBorders>
          <w:top w:val="single" w:color="1A6B3C" w:sz="4"/>
          <w:left w:val="single" w:color="1A6B3C" w:sz="14"/>
          <w:bottom w:val="single" w:color="1A6B3C" w:sz="4"/>
          <w:right w:val="single" w:color="CCCCCC" w:sz="1"/>
          <w:insideH w:val="single" w:color="auto" w:sz="4"/>
          <w:insideV w:val="single" w:color="auto" w:sz="4"/>
        </w:tblBorders>
      </w:tblPr>
      <w:tblGrid>
        <w:gridCol w:w="9026"/>
      </w:tblGrid>
      <w:tr>
        <w:tc>
          <w:tcPr>
            <w:tcW w:type="dxa" w:w="9026"/>
            <w:tcBorders>
              <w:top w:val="none"/>
              <w:left w:val="none"/>
              <w:bottom w:val="none"/>
              <w:right w:val="none"/>
            </w:tcBorders>
            <w:shd w:fill="D5F5E3" w:val="clear"/>
            <w:tcMar>
              <w:top w:type="dxa" w:w="90"/>
              <w:left w:type="dxa" w:w="180"/>
              <w:bottom w:type="dxa" w:w="90"/>
              <w:right w:type="dxa" w:w="180"/>
            </w:tcMar>
          </w:tcPr>
          <w:p>
            <w:pPr>
              <w:spacing w:before="30" w:after="50"/>
            </w:pPr>
            <w:r>
              <w:rPr>
                <w:rFonts w:ascii="Arial" w:cs="Arial" w:eastAsia="Arial" w:hAnsi="Arial"/>
                <w:b/>
                <w:bCs/>
                <w:color w:val="1A6B3C"/>
                <w:sz w:val="21"/>
                <w:szCs w:val="21"/>
              </w:rPr>
              <w:t xml:space="preserve">Innovation Clinique GRI v2.0</w:t>
            </w:r>
          </w:p>
          <w:p>
            <w:pPr>
              <w:spacing w:before="15" w:after="15"/>
            </w:pPr>
            <w:r>
              <w:rPr>
                <w:rFonts w:ascii="Arial" w:cs="Arial" w:eastAsia="Arial" w:hAnsi="Arial"/>
                <w:color w:val="1A1A1A"/>
                <w:sz w:val="20"/>
                <w:szCs w:val="20"/>
              </w:rPr>
              <w:t xml:space="preserve">Le niveau d'IMC est un mauvais prédicteur de la réponse aux GLP-1. Un patient à IMC 42 avec obésité purement mécanique/comportementale (HOMA-IR normal, pas de SOPK, pas de stéatose) répondra peu. À l'inverse, une femme non-obèse (IMC 26) avec SOPK + NAFLD + HOMA-IR 4,2 + adiponectine 3,8 μg/mL est un excellent répondeur GRI ≥ 2,5. Le GRI v2.0 intègre les comorbidités comme prédicteurs favorables ou défavorables majeurs.</w:t>
            </w:r>
          </w:p>
        </w:tc>
      </w:tr>
    </w:tbl>
    <w:p>
      <w:pPr>
        <w:spacing w:before="50" w:after="50"/>
      </w:pPr>
      <w:r>
        <w:t xml:space="preserve"/>
      </w:r>
    </w:p>
    <w:tbl>
      <w:tblPr>
        <w:tblW w:type="dxa" w:w="9026"/>
        <w:tblBorders>
          <w:top w:val="single" w:color="2E75B6" w:sz="4"/>
          <w:left w:val="single" w:color="1B3A6B" w:sz="12"/>
          <w:bottom w:val="single" w:color="2E75B6" w:sz="4"/>
          <w:right w:val="single" w:color="CCCCCC" w:sz="1"/>
          <w:insideH w:val="single" w:color="auto" w:sz="4"/>
          <w:insideV w:val="single" w:color="auto" w:sz="4"/>
        </w:tblBorders>
      </w:tblPr>
      <w:tblGrid>
        <w:gridCol w:w="9026"/>
      </w:tblGrid>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FORMULE GRI v2.0 — INTÉGRATION COMORBIDITÉS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GRI = Σ [ δ_k × F_k ]   (prédicteurs favorables)</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Σ [ ε_k × U_k ]   (prédicteurs défavorables)</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Coefficients δ avec comorbidités (prédicteurs FAVORABLES)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δ_HOMA-IR &gt; 2,5          = 1,07  [LEADER/SUSTAIN meta N=45k]</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δ_Pré-diabète confirmé   = 0,82  [SUSTAIN-6 sous-groupe]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δ_NAFLD / MAFLD          = 0,66  [Armstrong Hepatology 2016]  ← comorbidité</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δ_SOPK (femme)           = 0,83  [Jensterle Reprod BioMed 2022] ← comorbidité</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δ_Adiponectine &lt; 6 μg/mL = 0,62  [Kadowaki Nat Med 2012]</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δ_Phénotype MONW         = 0,70  [Lim Obesity 2019]            ← comorbidité</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δ_Syndrome métabolique ≥ 3 critères = 0,65  [Mottillo 2010]    ← comorbidité</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δ_Ratio TG/HDL &gt; 3,5     = 0,55  [Matikainen 2019]</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Coefficients ε (prédicteurs DÉFAVORABLES)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ε_CTI &gt; 55                    = 0,65  [Leibel + Sumithran — point de régulation]</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ε_Cortisol chronique élevé    = 0,28  [Champaneri 2013 — contre-régulation]</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ε_IMC &gt; 40 sans profil méta.  = 0,47  [Lingvay Lancet 2022 — type B mécanique]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ε_Corticoïdes actifs          = 0,35  [Fardet BMJ 2014 — IR iatrogène]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Interprétation GRI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GRI ≥ 2,5  : Excellent répondeur — perte &gt; 15% à 1 an prédite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GRI 1,5–2,4: Bon répondeur — 10–15%</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GRI 0,5–1,4: Répondeur modéré — 5–10%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GRI &lt; 0,5  : Mauvais répondeur — réévaluer indication</w:t>
            </w:r>
          </w:p>
        </w:tc>
      </w:tr>
    </w:tbl>
    <w:p>
      <w:pPr>
        <w:spacing w:before="50" w:after="50"/>
      </w:pPr>
      <w:r>
        <w:t xml:space="preserve"/>
      </w:r>
    </w:p>
    <w:p>
      <w:r>
        <w:br w:type="page"/>
      </w:r>
    </w:p>
    <w:p>
      <w:pPr>
        <w:pStyle w:val="Heading1"/>
        <w:pageBreakBefore/>
        <w:spacing w:before="400" w:after="200"/>
      </w:pPr>
      <w:r>
        <w:rPr>
          <w:rFonts w:ascii="Arial" w:cs="Arial" w:eastAsia="Arial" w:hAnsi="Arial"/>
          <w:b/>
          <w:bCs/>
          <w:color w:val="1B3A6B"/>
          <w:sz w:val="34"/>
          <w:szCs w:val="34"/>
        </w:rPr>
        <w:t xml:space="preserve">8. Modèle de Markov Multi-États</w:t>
      </w:r>
    </w:p>
    <w:p>
      <w:pPr>
        <w:pStyle w:val="Heading2"/>
        <w:pBdr>
          <w:bottom w:val="single" w:color="2E75B6" w:sz="3" w:space="4"/>
        </w:pBdr>
        <w:spacing w:before="260" w:after="120"/>
      </w:pPr>
      <w:r>
        <w:rPr>
          <w:rFonts w:ascii="Arial" w:cs="Arial" w:eastAsia="Arial" w:hAnsi="Arial"/>
          <w:b/>
          <w:bCs/>
          <w:color w:val="2E75B6"/>
          <w:sz w:val="26"/>
          <w:szCs w:val="26"/>
        </w:rPr>
        <w:t xml:space="preserve">8.1 Matrice de Transition de Base</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100"/>
        <w:gridCol w:w="926"/>
      </w:tblGrid>
      <w:tr>
        <w:tc>
          <w:tcPr>
            <w:tcW w:type="dxa" w:w="22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ÉTAT T → T+1</w:t>
            </w:r>
          </w:p>
        </w:tc>
        <w:tc>
          <w:tcPr>
            <w:tcW w:type="dxa" w:w="1200"/>
            <w:gridSpan w:val="1"/>
            <w:tcBorders>
              <w:top w:val="single" w:color="CCCCCC" w:sz="1"/>
              <w:left w:val="single" w:color="CCCCCC" w:sz="1"/>
              <w:bottom w:val="single" w:color="CCCCCC" w:sz="1"/>
              <w:right w:val="single" w:color="CCCCCC" w:sz="1"/>
            </w:tcBorders>
            <w:shd w:fill="1A6B3C"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Normal</w:t>
            </w:r>
          </w:p>
        </w:tc>
        <w:tc>
          <w:tcPr>
            <w:tcW w:type="dxa" w:w="1200"/>
            <w:gridSpan w:val="1"/>
            <w:tcBorders>
              <w:top w:val="single" w:color="CCCCCC" w:sz="1"/>
              <w:left w:val="single" w:color="CCCCCC" w:sz="1"/>
              <w:bottom w:val="single" w:color="CCCCCC" w:sz="1"/>
              <w:right w:val="single" w:color="CCCCCC" w:sz="1"/>
            </w:tcBorders>
            <w:shd w:fill="C96A00"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Surp.
début.</w:t>
            </w:r>
          </w:p>
        </w:tc>
        <w:tc>
          <w:tcPr>
            <w:tcW w:type="dxa" w:w="1200"/>
            <w:gridSpan w:val="1"/>
            <w:tcBorders>
              <w:top w:val="single" w:color="CCCCCC" w:sz="1"/>
              <w:left w:val="single" w:color="CCCCCC" w:sz="1"/>
              <w:bottom w:val="single" w:color="CCCCCC" w:sz="1"/>
              <w:right w:val="single" w:color="CCCCCC" w:sz="1"/>
            </w:tcBorders>
            <w:shd w:fill="C96A00"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Surp.
établi</w:t>
            </w:r>
          </w:p>
        </w:tc>
        <w:tc>
          <w:tcPr>
            <w:tcW w:type="dxa" w:w="1200"/>
            <w:gridSpan w:val="1"/>
            <w:tcBorders>
              <w:top w:val="single" w:color="CCCCCC" w:sz="1"/>
              <w:left w:val="single" w:color="CCCCCC" w:sz="1"/>
              <w:bottom w:val="single" w:color="CCCCCC" w:sz="1"/>
              <w:right w:val="single" w:color="CCCCCC" w:sz="1"/>
            </w:tcBorders>
            <w:shd w:fill="C96A00" w:val="clear"/>
            <w:tcMar>
              <w:top w:type="dxa" w:w="75"/>
              <w:left w:type="dxa" w:w="110"/>
              <w:bottom w:type="dxa" w:w="75"/>
              <w:right w:type="dxa" w:w="110"/>
            </w:tcMar>
            <w:vAlign w:val="center"/>
          </w:tcPr>
          <w:p>
            <w:pPr>
              <w:jc w:val="center"/>
            </w:pPr>
            <w:r>
              <w:rPr>
                <w:rFonts w:ascii="Arial" w:cs="Arial" w:eastAsia="Arial" w:hAnsi="Arial"/>
                <w:b/>
                <w:bCs/>
                <w:color w:val="1A1A1A"/>
                <w:sz w:val="19"/>
                <w:szCs w:val="19"/>
              </w:rPr>
              <w:t xml:space="preserve">Surp.
élevé</w:t>
            </w:r>
          </w:p>
        </w:tc>
        <w:tc>
          <w:tcPr>
            <w:tcW w:type="dxa" w:w="1100"/>
            <w:gridSpan w:val="1"/>
            <w:tcBorders>
              <w:top w:val="single" w:color="CCCCCC" w:sz="1"/>
              <w:left w:val="single" w:color="CCCCCC" w:sz="1"/>
              <w:bottom w:val="single" w:color="CCCCCC" w:sz="1"/>
              <w:right w:val="single" w:color="CCCCCC" w:sz="1"/>
            </w:tcBorders>
            <w:shd w:fill="C0392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Obés.
mod.</w:t>
            </w:r>
          </w:p>
        </w:tc>
        <w:tc>
          <w:tcPr>
            <w:tcW w:type="dxa" w:w="926"/>
            <w:gridSpan w:val="1"/>
            <w:tcBorders>
              <w:top w:val="single" w:color="CCCCCC" w:sz="1"/>
              <w:left w:val="single" w:color="CCCCCC" w:sz="1"/>
              <w:bottom w:val="single" w:color="CCCCCC" w:sz="1"/>
              <w:right w:val="single" w:color="CCCCCC" w:sz="1"/>
            </w:tcBorders>
            <w:shd w:fill="C0392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Obés.
sév.</w:t>
            </w:r>
          </w:p>
        </w:tc>
      </w:tr>
      <w:tr>
        <w:tc>
          <w:tcPr>
            <w:tcW w:type="dxa" w:w="22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Poids normal (IMC 18,5–22,9)</w:t>
            </w:r>
          </w:p>
        </w:tc>
        <w:tc>
          <w:tcPr>
            <w:tcW w:type="dxa" w:w="12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0,82</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0,14</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0,03</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0,01</w:t>
            </w:r>
          </w:p>
        </w:tc>
        <w:tc>
          <w:tcPr>
            <w:tcW w:type="dxa" w:w="11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0,00</w:t>
            </w:r>
          </w:p>
        </w:tc>
        <w:tc>
          <w:tcPr>
            <w:tcW w:type="dxa" w:w="9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0,00</w:t>
            </w:r>
          </w:p>
        </w:tc>
      </w:tr>
      <w:tr>
        <w:tc>
          <w:tcPr>
            <w:tcW w:type="dxa" w:w="22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Surpoids débutant (IMC 23–24,9)</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0,08</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0,68</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0,18</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0,05</w:t>
            </w:r>
          </w:p>
        </w:tc>
        <w:tc>
          <w:tcPr>
            <w:tcW w:type="dxa" w:w="11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0,01</w:t>
            </w:r>
          </w:p>
        </w:tc>
        <w:tc>
          <w:tcPr>
            <w:tcW w:type="dxa" w:w="9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0,00</w:t>
            </w:r>
          </w:p>
        </w:tc>
      </w:tr>
      <w:tr>
        <w:tc>
          <w:tcPr>
            <w:tcW w:type="dxa" w:w="22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Surpoids établi (IMC 25–27,4)</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0,02</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0,11</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0,61</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0,21</w:t>
            </w:r>
          </w:p>
        </w:tc>
        <w:tc>
          <w:tcPr>
            <w:tcW w:type="dxa" w:w="11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0,04</w:t>
            </w:r>
          </w:p>
        </w:tc>
        <w:tc>
          <w:tcPr>
            <w:tcW w:type="dxa" w:w="9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0,01</w:t>
            </w:r>
          </w:p>
        </w:tc>
      </w:tr>
      <w:tr>
        <w:tc>
          <w:tcPr>
            <w:tcW w:type="dxa" w:w="22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Surpoids élevé (IMC 27,5–29,9)</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0,01</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0,04</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0,14</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0,56</w:t>
            </w:r>
          </w:p>
        </w:tc>
        <w:tc>
          <w:tcPr>
            <w:tcW w:type="dxa" w:w="11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0,21</w:t>
            </w:r>
          </w:p>
        </w:tc>
        <w:tc>
          <w:tcPr>
            <w:tcW w:type="dxa" w:w="9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0,04</w:t>
            </w:r>
          </w:p>
        </w:tc>
      </w:tr>
      <w:tr>
        <w:tc>
          <w:tcPr>
            <w:tcW w:type="dxa" w:w="22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Obésité modérée (IMC 30–34,9)</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0,00</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0,01</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0,03</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0,12</w:t>
            </w:r>
          </w:p>
        </w:tc>
        <w:tc>
          <w:tcPr>
            <w:tcW w:type="dxa" w:w="11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0,65</w:t>
            </w:r>
          </w:p>
        </w:tc>
        <w:tc>
          <w:tcPr>
            <w:tcW w:type="dxa" w:w="9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0,19</w:t>
            </w:r>
          </w:p>
        </w:tc>
      </w:tr>
      <w:tr>
        <w:tc>
          <w:tcPr>
            <w:tcW w:type="dxa" w:w="22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Obésité sévère/chronique (≥ 35)</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0,00</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0,00</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0,01</w:t>
            </w:r>
          </w:p>
        </w:tc>
        <w:tc>
          <w:tcPr>
            <w:tcW w:type="dxa" w:w="12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0,03</w:t>
            </w:r>
          </w:p>
        </w:tc>
        <w:tc>
          <w:tcPr>
            <w:tcW w:type="dxa" w:w="11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0,11</w:t>
            </w:r>
          </w:p>
        </w:tc>
        <w:tc>
          <w:tcPr>
            <w:tcW w:type="dxa" w:w="9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0,85</w:t>
            </w:r>
          </w:p>
        </w:tc>
      </w:tr>
    </w:tbl>
    <w:p>
      <w:pPr>
        <w:spacing w:before="50" w:after="50"/>
      </w:pPr>
      <w:r>
        <w:t xml:space="preserve"/>
      </w:r>
    </w:p>
    <w:p>
      <w:pPr>
        <w:pStyle w:val="Heading2"/>
        <w:pBdr>
          <w:bottom w:val="single" w:color="2E75B6" w:sz="3" w:space="4"/>
        </w:pBdr>
        <w:spacing w:before="260" w:after="120"/>
      </w:pPr>
      <w:r>
        <w:rPr>
          <w:rFonts w:ascii="Arial" w:cs="Arial" w:eastAsia="Arial" w:hAnsi="Arial"/>
          <w:b/>
          <w:bCs/>
          <w:color w:val="2E75B6"/>
          <w:sz w:val="26"/>
          <w:szCs w:val="26"/>
        </w:rPr>
        <w:t xml:space="preserve">8.2 Formule de Modulation par BMN-T et Comorbidités</w:t>
      </w:r>
    </w:p>
    <w:p>
      <w:pPr>
        <w:spacing w:before="50" w:after="50"/>
      </w:pPr>
      <w:r>
        <w:t xml:space="preserve"/>
      </w:r>
    </w:p>
    <w:tbl>
      <w:tblPr>
        <w:tblW w:type="dxa" w:w="9026"/>
        <w:tblBorders>
          <w:top w:val="single" w:color="2E75B6" w:sz="4"/>
          <w:left w:val="single" w:color="1B3A6B" w:sz="12"/>
          <w:bottom w:val="single" w:color="2E75B6" w:sz="4"/>
          <w:right w:val="single" w:color="CCCCCC" w:sz="1"/>
          <w:insideH w:val="single" w:color="auto" w:sz="4"/>
          <w:insideV w:val="single" w:color="auto" w:sz="4"/>
        </w:tblBorders>
      </w:tblPr>
      <w:tblGrid>
        <w:gridCol w:w="9026"/>
      </w:tblGrid>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FORMULE MARKOV BMN v2.0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P_ij(BMN, K) = P_ij(base) × exp(θ_BMN × BMN_T/100)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exp(θ_K × BMN_K_norm/100)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θ_BMN = 0,68 (coefficient modulation score global)</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θ_K   = 0,35 (coefficient modulation comorbidités — nouveau v2.0)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Modulation spécifique par comorbidité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DT2 établi   : P_transition_vers_obésité × 1,40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SOPK         : P_transition_vers_obésité × 1,30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SAOS sévère  : P_transition_vers_obésité × 1,25</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MetS complet : P_transition_vers_obésité × 1,50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Simulation 10 ans depuis 18 mois d'observation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π(t+1) = π(t) × P(BMN, K)</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P(obésité à t=10) = π_5(10) + π_6(10)</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Validation Markov : concordance prédiction vs trajectoire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surrogates 18 mois (HOMA-IR, TC, adiponectine).</w:t>
            </w:r>
          </w:p>
        </w:tc>
      </w:tr>
    </w:tbl>
    <w:p>
      <w:pPr>
        <w:spacing w:before="50" w:after="50"/>
      </w:pPr>
      <w:r>
        <w:t xml:space="preserve"/>
      </w:r>
    </w:p>
    <w:p>
      <w:r>
        <w:br w:type="page"/>
      </w:r>
    </w:p>
    <w:p>
      <w:pPr>
        <w:pStyle w:val="Heading1"/>
        <w:pageBreakBefore/>
        <w:spacing w:before="400" w:after="200"/>
      </w:pPr>
      <w:r>
        <w:rPr>
          <w:rFonts w:ascii="Arial" w:cs="Arial" w:eastAsia="Arial" w:hAnsi="Arial"/>
          <w:b/>
          <w:bCs/>
          <w:color w:val="1B3A6B"/>
          <w:sz w:val="34"/>
          <w:szCs w:val="34"/>
        </w:rPr>
        <w:t xml:space="preserve">9. Cadre Décisionnel Intégré BMN-T + CTI + GRI + Comorbidités</w:t>
      </w:r>
    </w:p>
    <w:p>
      <w:pPr>
        <w:pStyle w:val="Heading2"/>
        <w:pBdr>
          <w:bottom w:val="single" w:color="2E75B6" w:sz="3" w:space="4"/>
        </w:pBdr>
        <w:spacing w:before="260" w:after="120"/>
      </w:pPr>
      <w:r>
        <w:rPr>
          <w:rFonts w:ascii="Arial" w:cs="Arial" w:eastAsia="Arial" w:hAnsi="Arial"/>
          <w:b/>
          <w:bCs/>
          <w:color w:val="2E75B6"/>
          <w:sz w:val="26"/>
          <w:szCs w:val="26"/>
        </w:rPr>
        <w:t xml:space="preserve">9.1 Matrice de Décision Clinique</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1100"/>
        <w:gridCol w:w="1300"/>
        <w:gridCol w:w="4126"/>
      </w:tblGrid>
      <w:tr>
        <w:tc>
          <w:tcPr>
            <w:tcW w:type="dxa" w:w="9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BMN-T</w:t>
            </w:r>
          </w:p>
        </w:tc>
        <w:tc>
          <w:tcPr>
            <w:tcW w:type="dxa" w:w="8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CTI</w:t>
            </w:r>
          </w:p>
        </w:tc>
        <w:tc>
          <w:tcPr>
            <w:tcW w:type="dxa" w:w="8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GRI</w:t>
            </w:r>
          </w:p>
        </w:tc>
        <w:tc>
          <w:tcPr>
            <w:tcW w:type="dxa" w:w="11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Risque
Complications</w:t>
            </w:r>
          </w:p>
        </w:tc>
        <w:tc>
          <w:tcPr>
            <w:tcW w:type="dxa" w:w="13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NIVEAU</w:t>
            </w:r>
          </w:p>
        </w:tc>
        <w:tc>
          <w:tcPr>
            <w:tcW w:type="dxa" w:w="4126"/>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STRATÉGIE THÉRAPEUTIQUE</w:t>
            </w:r>
          </w:p>
        </w:tc>
      </w:tr>
      <w:tr>
        <w:tc>
          <w:tcPr>
            <w:tcW w:type="dxa" w:w="9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&lt; 40</w:t>
            </w:r>
          </w:p>
        </w:tc>
        <w:tc>
          <w:tcPr>
            <w:tcW w:type="dxa" w:w="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&lt; 20</w:t>
            </w:r>
          </w:p>
        </w:tc>
        <w:tc>
          <w:tcPr>
            <w:tcW w:type="dxa" w:w="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N/A</w:t>
            </w:r>
          </w:p>
        </w:tc>
        <w:tc>
          <w:tcPr>
            <w:tcW w:type="dxa" w:w="11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Faible</w:t>
            </w:r>
          </w:p>
        </w:tc>
        <w:tc>
          <w:tcPr>
            <w:tcW w:type="dxa" w:w="13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7"/>
                <w:szCs w:val="17"/>
              </w:rPr>
              <w:t xml:space="preserve">FAIBLE</w:t>
            </w:r>
          </w:p>
        </w:tc>
        <w:tc>
          <w:tcPr>
            <w:tcW w:type="dxa" w:w="41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Surveillance 3 ans. Conseils lifestyle. Pas de bilan systématique.</w:t>
            </w:r>
          </w:p>
        </w:tc>
      </w:tr>
      <w:tr>
        <w:tc>
          <w:tcPr>
            <w:tcW w:type="dxa" w:w="9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40–80</w:t>
            </w:r>
          </w:p>
        </w:tc>
        <w:tc>
          <w:tcPr>
            <w:tcW w:type="dxa" w:w="8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20–40</w:t>
            </w:r>
          </w:p>
        </w:tc>
        <w:tc>
          <w:tcPr>
            <w:tcW w:type="dxa" w:w="8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N/A</w:t>
            </w:r>
          </w:p>
        </w:tc>
        <w:tc>
          <w:tcPr>
            <w:tcW w:type="dxa" w:w="11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Modéré</w:t>
            </w:r>
          </w:p>
        </w:tc>
        <w:tc>
          <w:tcPr>
            <w:tcW w:type="dxa" w:w="1300"/>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7"/>
                <w:szCs w:val="17"/>
              </w:rPr>
              <w:t xml:space="preserve">MODÉRÉ</w:t>
            </w:r>
          </w:p>
        </w:tc>
        <w:tc>
          <w:tcPr>
            <w:tcW w:type="dxa" w:w="4126"/>
            <w:gridSpan w:val="1"/>
            <w:tcBorders>
              <w:top w:val="single" w:color="CCCCCC" w:sz="1"/>
              <w:left w:val="single" w:color="CCCCCC" w:sz="1"/>
              <w:bottom w:val="single" w:color="CCCCCC" w:sz="1"/>
              <w:right w:val="single" w:color="CCCCCC" w:sz="1"/>
            </w:tcBorders>
            <w:shd w:fill="FFFDE7"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Programme alimentation + AP. Bilan Tier 2A. Suivi annuel. BMN-K si comorbidité.</w:t>
            </w:r>
          </w:p>
        </w:tc>
      </w:tr>
      <w:tr>
        <w:tc>
          <w:tcPr>
            <w:tcW w:type="dxa" w:w="9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81–120</w:t>
            </w:r>
          </w:p>
        </w:tc>
        <w:tc>
          <w:tcPr>
            <w:tcW w:type="dxa" w:w="8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20–40</w:t>
            </w:r>
          </w:p>
        </w:tc>
        <w:tc>
          <w:tcPr>
            <w:tcW w:type="dxa" w:w="8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 1,5</w:t>
            </w:r>
          </w:p>
        </w:tc>
        <w:tc>
          <w:tcPr>
            <w:tcW w:type="dxa" w:w="1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Modéré</w:t>
            </w:r>
          </w:p>
        </w:tc>
        <w:tc>
          <w:tcPr>
            <w:tcW w:type="dxa" w:w="13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7"/>
                <w:szCs w:val="17"/>
              </w:rPr>
              <w:t xml:space="preserve">ÉLEVÉ</w:t>
            </w:r>
          </w:p>
        </w:tc>
        <w:tc>
          <w:tcPr>
            <w:tcW w:type="dxa" w:w="4126"/>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Bilan Tier 2B. GLP-1 préventif (sémaglutide). Programme intensif. Suivi trimestriel.</w:t>
            </w:r>
          </w:p>
        </w:tc>
      </w:tr>
      <w:tr>
        <w:tc>
          <w:tcPr>
            <w:tcW w:type="dxa" w:w="9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&gt; 120</w:t>
            </w:r>
          </w:p>
        </w:tc>
        <w:tc>
          <w:tcPr>
            <w:tcW w:type="dxa" w:w="8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&lt; 40</w:t>
            </w:r>
          </w:p>
        </w:tc>
        <w:tc>
          <w:tcPr>
            <w:tcW w:type="dxa" w:w="8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 2,5</w:t>
            </w:r>
          </w:p>
        </w:tc>
        <w:tc>
          <w:tcPr>
            <w:tcW w:type="dxa" w:w="11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Faible</w:t>
            </w:r>
          </w:p>
        </w:tc>
        <w:tc>
          <w:tcPr>
            <w:tcW w:type="dxa" w:w="13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7"/>
                <w:szCs w:val="17"/>
              </w:rPr>
              <w:t xml:space="preserve">TRÈS ÉLEVÉ</w:t>
            </w:r>
          </w:p>
        </w:tc>
        <w:tc>
          <w:tcPr>
            <w:tcW w:type="dxa" w:w="4126"/>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Prescription GLP-1 prioritaire (tirzepatide si HOMA-IR &gt; 4). Bilan Tier 2C. Enrôlement Phase 2.</w:t>
            </w:r>
          </w:p>
        </w:tc>
      </w:tr>
      <w:tr>
        <w:tc>
          <w:tcPr>
            <w:tcW w:type="dxa" w:w="9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&gt; 120</w:t>
            </w:r>
          </w:p>
        </w:tc>
        <w:tc>
          <w:tcPr>
            <w:tcW w:type="dxa" w:w="8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&gt; 55</w:t>
            </w:r>
          </w:p>
        </w:tc>
        <w:tc>
          <w:tcPr>
            <w:tcW w:type="dxa" w:w="8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&lt; 0,5</w:t>
            </w:r>
          </w:p>
        </w:tc>
        <w:tc>
          <w:tcPr>
            <w:tcW w:type="dxa" w:w="11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Élevé</w:t>
            </w:r>
          </w:p>
        </w:tc>
        <w:tc>
          <w:tcPr>
            <w:tcW w:type="dxa" w:w="13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7"/>
                <w:szCs w:val="17"/>
              </w:rPr>
              <w:t xml:space="preserve">CRITIQUE</w:t>
            </w:r>
          </w:p>
        </w:tc>
        <w:tc>
          <w:tcPr>
            <w:tcW w:type="dxa" w:w="41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Chirurgie bariatrique à évaluer obligatoirement. CTI confirme chronicité. Équipe multidisciplinaire.</w:t>
            </w:r>
          </w:p>
        </w:tc>
      </w:tr>
      <w:tr>
        <w:tc>
          <w:tcPr>
            <w:tcW w:type="dxa" w:w="9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Tout</w:t>
            </w:r>
          </w:p>
        </w:tc>
        <w:tc>
          <w:tcPr>
            <w:tcW w:type="dxa" w:w="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&gt; 40</w:t>
            </w:r>
          </w:p>
        </w:tc>
        <w:tc>
          <w:tcPr>
            <w:tcW w:type="dxa" w:w="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0,5–1,5</w:t>
            </w:r>
          </w:p>
        </w:tc>
        <w:tc>
          <w:tcPr>
            <w:tcW w:type="dxa" w:w="11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Inter.</w:t>
            </w:r>
          </w:p>
        </w:tc>
        <w:tc>
          <w:tcPr>
            <w:tcW w:type="dxa" w:w="13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7"/>
                <w:szCs w:val="17"/>
              </w:rPr>
              <w:t xml:space="preserve">ÉLEVÉ</w:t>
            </w:r>
          </w:p>
        </w:tc>
        <w:tc>
          <w:tcPr>
            <w:tcW w:type="dxa" w:w="41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GLP-1 + traitement sommeil/stress/microbiome. Réévaluation CTI 6 mois.</w:t>
            </w:r>
          </w:p>
        </w:tc>
      </w:tr>
      <w:tr>
        <w:tc>
          <w:tcPr>
            <w:tcW w:type="dxa" w:w="900"/>
            <w:gridSpan w:val="1"/>
            <w:tcBorders>
              <w:top w:val="single" w:color="CCCCCC" w:sz="1"/>
              <w:left w:val="single" w:color="CCCCCC" w:sz="1"/>
              <w:bottom w:val="single" w:color="CCCCCC" w:sz="1"/>
              <w:right w:val="single" w:color="CCCCCC" w:sz="1"/>
            </w:tcBorders>
            <w:shd w:fill="F3E8FC"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Tout</w:t>
            </w:r>
          </w:p>
        </w:tc>
        <w:tc>
          <w:tcPr>
            <w:tcW w:type="dxa" w:w="800"/>
            <w:gridSpan w:val="1"/>
            <w:tcBorders>
              <w:top w:val="single" w:color="CCCCCC" w:sz="1"/>
              <w:left w:val="single" w:color="CCCCCC" w:sz="1"/>
              <w:bottom w:val="single" w:color="CCCCCC" w:sz="1"/>
              <w:right w:val="single" w:color="CCCCCC" w:sz="1"/>
            </w:tcBorders>
            <w:shd w:fill="F3E8F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Tout</w:t>
            </w:r>
          </w:p>
        </w:tc>
        <w:tc>
          <w:tcPr>
            <w:tcW w:type="dxa" w:w="800"/>
            <w:gridSpan w:val="1"/>
            <w:tcBorders>
              <w:top w:val="single" w:color="CCCCCC" w:sz="1"/>
              <w:left w:val="single" w:color="CCCCCC" w:sz="1"/>
              <w:bottom w:val="single" w:color="CCCCCC" w:sz="1"/>
              <w:right w:val="single" w:color="CCCCCC" w:sz="1"/>
            </w:tcBorders>
            <w:shd w:fill="F3E8FC" w:val="clear"/>
            <w:tcMar>
              <w:top w:type="dxa" w:w="65"/>
              <w:left w:type="dxa" w:w="110"/>
              <w:bottom w:type="dxa" w:w="65"/>
              <w:right w:type="dxa" w:w="110"/>
            </w:tcMar>
            <w:vAlign w:val="center"/>
          </w:tcPr>
          <w:p>
            <w:pPr>
              <w:jc w:val="center"/>
            </w:pPr>
            <w:r>
              <w:rPr>
                <w:rFonts w:ascii="Arial" w:cs="Arial" w:eastAsia="Arial" w:hAnsi="Arial"/>
                <w:b/>
                <w:bCs/>
                <w:i w:val="false"/>
                <w:iCs w:val="false"/>
                <w:color w:val="1A1A1A"/>
                <w:sz w:val="18"/>
                <w:szCs w:val="18"/>
              </w:rPr>
              <w:t xml:space="preserve">Tout</w:t>
            </w:r>
          </w:p>
        </w:tc>
        <w:tc>
          <w:tcPr>
            <w:tcW w:type="dxa" w:w="1100"/>
            <w:gridSpan w:val="1"/>
            <w:tcBorders>
              <w:top w:val="single" w:color="CCCCCC" w:sz="1"/>
              <w:left w:val="single" w:color="CCCCCC" w:sz="1"/>
              <w:bottom w:val="single" w:color="CCCCCC" w:sz="1"/>
              <w:right w:val="single" w:color="CCCCCC" w:sz="1"/>
            </w:tcBorders>
            <w:shd w:fill="F3E8FC"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7"/>
                <w:szCs w:val="17"/>
              </w:rPr>
              <w:t xml:space="preserve">Élevé comorbidité</w:t>
            </w:r>
          </w:p>
        </w:tc>
        <w:tc>
          <w:tcPr>
            <w:tcW w:type="dxa" w:w="1300"/>
            <w:gridSpan w:val="1"/>
            <w:tcBorders>
              <w:top w:val="single" w:color="CCCCCC" w:sz="1"/>
              <w:left w:val="single" w:color="CCCCCC" w:sz="1"/>
              <w:bottom w:val="single" w:color="CCCCCC" w:sz="1"/>
              <w:right w:val="single" w:color="CCCCCC" w:sz="1"/>
            </w:tcBorders>
            <w:shd w:fill="F3E8FC"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7"/>
                <w:szCs w:val="17"/>
              </w:rPr>
              <w:t xml:space="preserve">MODÉRÉ min.</w:t>
            </w:r>
          </w:p>
        </w:tc>
        <w:tc>
          <w:tcPr>
            <w:tcW w:type="dxa" w:w="4126"/>
            <w:gridSpan w:val="1"/>
            <w:tcBorders>
              <w:top w:val="single" w:color="CCCCCC" w:sz="1"/>
              <w:left w:val="single" w:color="CCCCCC" w:sz="1"/>
              <w:bottom w:val="single" w:color="CCCCCC" w:sz="1"/>
              <w:right w:val="single" w:color="CCCCCC" w:sz="1"/>
            </w:tcBorders>
            <w:shd w:fill="F3E8FC"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Prise en charge comorbidité : SOPK (metformine + GLP-1), SAOS (CPAP), hypothyroïdie (lévothyroxine), DT2 (escalade thérapeutique).</w:t>
            </w:r>
          </w:p>
        </w:tc>
      </w:tr>
    </w:tbl>
    <w:p>
      <w:pPr>
        <w:spacing w:before="50" w:after="50"/>
      </w:pPr>
      <w:r>
        <w:t xml:space="preserve"/>
      </w:r>
    </w:p>
    <w:p>
      <w:pPr>
        <w:pStyle w:val="Heading2"/>
        <w:pBdr>
          <w:bottom w:val="single" w:color="2E75B6" w:sz="3" w:space="4"/>
        </w:pBdr>
        <w:spacing w:before="260" w:after="120"/>
      </w:pPr>
      <w:r>
        <w:rPr>
          <w:rFonts w:ascii="Arial" w:cs="Arial" w:eastAsia="Arial" w:hAnsi="Arial"/>
          <w:b/>
          <w:bCs/>
          <w:color w:val="2E75B6"/>
          <w:sz w:val="26"/>
          <w:szCs w:val="26"/>
        </w:rPr>
        <w:t xml:space="preserve">9.2 Algorithme de Décision Pas-à-Pas</w:t>
      </w:r>
    </w:p>
    <w:p>
      <w:pPr>
        <w:spacing w:before="50" w:after="50"/>
      </w:pPr>
      <w:r>
        <w:t xml:space="preserve"/>
      </w:r>
    </w:p>
    <w:tbl>
      <w:tblPr>
        <w:tblW w:type="dxa" w:w="9026"/>
        <w:tblBorders>
          <w:top w:val="single" w:color="2E75B6" w:sz="4"/>
          <w:left w:val="single" w:color="1B3A6B" w:sz="12"/>
          <w:bottom w:val="single" w:color="2E75B6" w:sz="4"/>
          <w:right w:val="single" w:color="CCCCCC" w:sz="1"/>
          <w:insideH w:val="single" w:color="auto" w:sz="4"/>
          <w:insideV w:val="single" w:color="auto" w:sz="4"/>
        </w:tblBorders>
      </w:tblPr>
      <w:tblGrid>
        <w:gridCol w:w="9026"/>
      </w:tblGrid>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ALGORITHME DÉCISIONNEL BMN v2.0 — SÉQUENCE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ÉTAPE 1 — BMN-C (clinique, sans ordonnance)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Calculer BMN-C</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Si BMN-C &lt; 40 : calculer SII. Si SII &lt; 2 et aucun critère indép. → optionnel.</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Si BMN-C ≥ 40 : prescription biologique Tier 2A à 2D selon niveau.</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ÉTAPE 2 — BMN-B (biologique, résultats reçus)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Normaliser 15 biomarqueurs → Bio_norm.</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Rétrovalidation : 6 règles correctrices.</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Calculer bMetab (synergie métabolique).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ÉTAPE 3 — BMN-K (comorbidités, médecin)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Si comorbidité connue OU BMN-C ≥ 50 : évaluer 11 comorbidités.</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Calculer BMN-K_norm.</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Identifier amplificateurs CTI + prédicteurs GRI.</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ÉTAPE 4 — BMN-T consolidé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gap = Bio_norm − BMN_C_norm</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Calculer pondérations dynamiques w_B, w_C, w_K</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BMN_T = w_C×C + w_B×Bio + w_K×K</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Appliquer BioFloor + ComorbidityFloor si nécessaire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Classification FAIBLE / MODÉRÉ / ÉLEVÉ / TRÈS ÉLEVÉ / CRITIQUE</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ÉTAPE 5 — Indices spécialisés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CTI : calcul chronicisation (avec amplificateurs comorbidités)</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GRI : calcul réponse GLP-1 (avec comorbidités SOPK/NAFLD/MetS)</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Risques de complications chiffrés depuis table BMN-K</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ÉTAPE 6 — Stratégie thérapeutique :</w:t>
            </w:r>
          </w:p>
        </w:tc>
      </w:tr>
      <w:tr>
        <w:tc>
          <w:tcPr>
            <w:tcW w:type="dxa" w:w="9026"/>
            <w:tcBorders>
              <w:top w:val="none"/>
              <w:left w:val="none"/>
              <w:bottom w:val="none"/>
              <w:right w:val="none"/>
            </w:tcBorders>
            <w:shd w:fill="EEF4FB" w:val="clear"/>
            <w:tcMar>
              <w:top w:type="dxa" w:w="40"/>
              <w:left w:type="dxa" w:w="200"/>
              <w:bottom w:type="dxa" w:w="40"/>
              <w:right w:type="dxa" w:w="200"/>
            </w:tcMar>
          </w:tcPr>
          <w:p>
            <w:pPr>
              <w:spacing w:before="25" w:after="25"/>
            </w:pPr>
            <w:r>
              <w:rPr>
                <w:rFonts w:ascii="Courier New" w:cs="Courier New" w:eastAsia="Courier New" w:hAnsi="Courier New"/>
                <w:color w:val="1B3A6B"/>
                <w:sz w:val="19"/>
                <w:szCs w:val="19"/>
              </w:rPr>
              <w:t xml:space="preserve">  → Matrice BMN-T + CTI + GRI + risque complications → décision</w:t>
            </w:r>
          </w:p>
        </w:tc>
      </w:tr>
    </w:tbl>
    <w:p>
      <w:pPr>
        <w:spacing w:before="50" w:after="50"/>
      </w:pPr>
      <w:r>
        <w:t xml:space="preserve"/>
      </w:r>
    </w:p>
    <w:p>
      <w:r>
        <w:br w:type="page"/>
      </w:r>
    </w:p>
    <w:p>
      <w:pPr>
        <w:pStyle w:val="Heading1"/>
        <w:pageBreakBefore/>
        <w:spacing w:before="400" w:after="200"/>
      </w:pPr>
      <w:r>
        <w:rPr>
          <w:rFonts w:ascii="Arial" w:cs="Arial" w:eastAsia="Arial" w:hAnsi="Arial"/>
          <w:b/>
          <w:bCs/>
          <w:color w:val="1B3A6B"/>
          <w:sz w:val="34"/>
          <w:szCs w:val="34"/>
        </w:rPr>
        <w:t xml:space="preserve">10. Protocole de Validation — Feuille de Route 18 Mois</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800"/>
        <w:gridCol w:w="1600"/>
        <w:gridCol w:w="1826"/>
      </w:tblGrid>
      <w:tr>
        <w:tc>
          <w:tcPr>
            <w:tcW w:type="dxa" w:w="10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PÉRIODE</w:t>
            </w:r>
          </w:p>
        </w:tc>
        <w:tc>
          <w:tcPr>
            <w:tcW w:type="dxa" w:w="18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PHASE</w:t>
            </w:r>
          </w:p>
        </w:tc>
        <w:tc>
          <w:tcPr>
            <w:tcW w:type="dxa" w:w="28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ACTIONS</w:t>
            </w:r>
          </w:p>
        </w:tc>
        <w:tc>
          <w:tcPr>
            <w:tcW w:type="dxa" w:w="16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RESPONSABLE</w:t>
            </w:r>
          </w:p>
        </w:tc>
        <w:tc>
          <w:tcPr>
            <w:tcW w:type="dxa" w:w="1826"/>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LIVRABLES</w:t>
            </w:r>
          </w:p>
        </w:tc>
      </w:tr>
      <w:tr>
        <w:tc>
          <w:tcPr>
            <w:tcW w:type="dxa" w:w="10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M0–M3</w:t>
            </w:r>
          </w:p>
        </w:tc>
        <w:tc>
          <w:tcPr>
            <w:tcW w:type="dxa" w:w="18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Construction modèle</w:t>
            </w:r>
          </w:p>
        </w:tc>
        <w:tc>
          <w:tcPr>
            <w:tcW w:type="dxa" w:w="28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Dérivation 25 coefficients β. Codage BMN-C/B/K, CTI, GRI, Markov. Calculateur numérique.</w:t>
            </w:r>
          </w:p>
        </w:tc>
        <w:tc>
          <w:tcPr>
            <w:tcW w:type="dxa" w:w="1600"/>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Statisticien + Médecin</w:t>
            </w:r>
          </w:p>
        </w:tc>
        <w:tc>
          <w:tcPr>
            <w:tcW w:type="dxa" w:w="1826"/>
            <w:gridSpan w:val="1"/>
            <w:tcBorders>
              <w:top w:val="single" w:color="CCCCCC" w:sz="1"/>
              <w:left w:val="single" w:color="CCCCCC" w:sz="1"/>
              <w:bottom w:val="single" w:color="CCCCCC" w:sz="1"/>
              <w:right w:val="single" w:color="CCCCCC" w:sz="1"/>
            </w:tcBorders>
            <w:shd w:fill="D6E8FA"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7"/>
                <w:szCs w:val="17"/>
              </w:rPr>
              <w:t xml:space="preserve">Algorithme opérationnel. Formulaire validé.</w:t>
            </w:r>
          </w:p>
        </w:tc>
      </w:tr>
      <w:tr>
        <w:tc>
          <w:tcPr>
            <w:tcW w:type="dxa" w:w="10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M3–M9</w:t>
            </w:r>
          </w:p>
        </w:tc>
        <w:tc>
          <w:tcPr>
            <w:tcW w:type="dxa" w:w="1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Phase 1A — Rétrospective</w:t>
            </w:r>
          </w:p>
        </w:tc>
        <w:tc>
          <w:tcPr>
            <w:tcW w:type="dxa" w:w="2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Re-baseline T−10 ans : Emirates Hospital + Clinique Bouchard. N=3–6k. Validation module BMN-K sur comorbidités documentées.</w:t>
            </w:r>
          </w:p>
        </w:tc>
        <w:tc>
          <w:tcPr>
            <w:tcW w:type="dxa" w:w="16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DIM + Biostatisticien</w:t>
            </w:r>
          </w:p>
        </w:tc>
        <w:tc>
          <w:tcPr>
            <w:tcW w:type="dxa" w:w="18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7"/>
                <w:szCs w:val="17"/>
              </w:rPr>
              <w:t xml:space="preserve">C-stat ≥ 0,80. AUC. Validation BMN-K.</w:t>
            </w:r>
          </w:p>
        </w:tc>
      </w:tr>
      <w:tr>
        <w:tc>
          <w:tcPr>
            <w:tcW w:type="dxa" w:w="10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M6–M12</w:t>
            </w:r>
          </w:p>
        </w:tc>
        <w:tc>
          <w:tcPr>
            <w:tcW w:type="dxa" w:w="1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Phase 1B — Surrogates 18 mois</w:t>
            </w:r>
          </w:p>
        </w:tc>
        <w:tc>
          <w:tcPr>
            <w:tcW w:type="dxa" w:w="2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HOMA-IR, tour de taille, adiponectine. Calibration Markov (θ). Validation GRI sur 50–100 patients GLP-1. Validation risques complications.</w:t>
            </w:r>
          </w:p>
        </w:tc>
        <w:tc>
          <w:tcPr>
            <w:tcW w:type="dxa" w:w="16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Médecin + Chercheur</w:t>
            </w:r>
          </w:p>
        </w:tc>
        <w:tc>
          <w:tcPr>
            <w:tcW w:type="dxa" w:w="1826"/>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7"/>
                <w:szCs w:val="17"/>
              </w:rPr>
              <w:t xml:space="preserve">AUC &gt; 0,78. C-stat &gt; 0,80.</w:t>
            </w:r>
          </w:p>
        </w:tc>
      </w:tr>
      <w:tr>
        <w:tc>
          <w:tcPr>
            <w:tcW w:type="dxa" w:w="10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M9–M15</w:t>
            </w:r>
          </w:p>
        </w:tc>
        <w:tc>
          <w:tcPr>
            <w:tcW w:type="dxa" w:w="18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Raffinement algo</w:t>
            </w:r>
          </w:p>
        </w:tc>
        <w:tc>
          <w:tcPr>
            <w:tcW w:type="dxa" w:w="28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XGBoost. Interactions comorbidités × comportements. Validation croisée 10-fold.</w:t>
            </w:r>
          </w:p>
        </w:tc>
        <w:tc>
          <w:tcPr>
            <w:tcW w:type="dxa" w:w="1600"/>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Data scientist</w:t>
            </w:r>
          </w:p>
        </w:tc>
        <w:tc>
          <w:tcPr>
            <w:tcW w:type="dxa" w:w="1826"/>
            <w:gridSpan w:val="1"/>
            <w:tcBorders>
              <w:top w:val="single" w:color="CCCCCC" w:sz="1"/>
              <w:left w:val="single" w:color="CCCCCC" w:sz="1"/>
              <w:bottom w:val="single" w:color="CCCCCC" w:sz="1"/>
              <w:right w:val="single" w:color="CCCCCC" w:sz="1"/>
            </w:tcBorders>
            <w:shd w:fill="FEF0DC"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7"/>
                <w:szCs w:val="17"/>
              </w:rPr>
              <w:t xml:space="preserve">C-stat &gt; 0,80. NRI &gt; 0,10 vs IMC seul.</w:t>
            </w:r>
          </w:p>
        </w:tc>
      </w:tr>
      <w:tr>
        <w:tc>
          <w:tcPr>
            <w:tcW w:type="dxa" w:w="10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center"/>
            </w:pPr>
            <w:r>
              <w:rPr>
                <w:rFonts w:ascii="Arial" w:cs="Arial" w:eastAsia="Arial" w:hAnsi="Arial"/>
                <w:b/>
                <w:bCs/>
                <w:i w:val="false"/>
                <w:iCs w:val="false"/>
                <w:color w:val="1B3A6B"/>
                <w:sz w:val="18"/>
                <w:szCs w:val="18"/>
              </w:rPr>
              <w:t xml:space="preserve">M12–M18</w:t>
            </w:r>
          </w:p>
        </w:tc>
        <w:tc>
          <w:tcPr>
            <w:tcW w:type="dxa" w:w="18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Phase 2 — Prospective</w:t>
            </w:r>
          </w:p>
        </w:tc>
        <w:tc>
          <w:tcPr>
            <w:tcW w:type="dxa" w:w="28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Recrutement 1 000–3 000 non-obèses. BMN-C (AM + diét.) + BMN-K (médecin) + BMN-B (ordonnance). Suivi 18 mois. Soumission BMJ/JAMA.</w:t>
            </w:r>
          </w:p>
        </w:tc>
        <w:tc>
          <w:tcPr>
            <w:tcW w:type="dxa" w:w="1600"/>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val="false"/>
                <w:bCs w:val="false"/>
                <w:i/>
                <w:iCs/>
                <w:color w:val="1A1A1A"/>
                <w:sz w:val="17"/>
                <w:szCs w:val="17"/>
              </w:rPr>
              <w:t xml:space="preserve">Équipe multicentrique</w:t>
            </w:r>
          </w:p>
        </w:tc>
        <w:tc>
          <w:tcPr>
            <w:tcW w:type="dxa" w:w="1826"/>
            <w:gridSpan w:val="1"/>
            <w:tcBorders>
              <w:top w:val="single" w:color="CCCCCC" w:sz="1"/>
              <w:left w:val="single" w:color="CCCCCC" w:sz="1"/>
              <w:bottom w:val="single" w:color="CCCCCC" w:sz="1"/>
              <w:right w:val="single" w:color="CCCCCC" w:sz="1"/>
            </w:tcBorders>
            <w:shd w:fill="FADBD8" w:val="clear"/>
            <w:tcMar>
              <w:top w:type="dxa" w:w="65"/>
              <w:left w:type="dxa" w:w="110"/>
              <w:bottom w:type="dxa" w:w="65"/>
              <w:right w:type="dxa" w:w="110"/>
            </w:tcMar>
            <w:vAlign w:val="center"/>
          </w:tcPr>
          <w:p>
            <w:pPr>
              <w:jc w:val="left"/>
            </w:pPr>
            <w:r>
              <w:rPr>
                <w:rFonts w:ascii="Arial" w:cs="Arial" w:eastAsia="Arial" w:hAnsi="Arial"/>
                <w:b/>
                <w:bCs/>
                <w:i w:val="false"/>
                <w:iCs w:val="false"/>
                <w:color w:val="1B3A6B"/>
                <w:sz w:val="17"/>
                <w:szCs w:val="17"/>
              </w:rPr>
              <w:t xml:space="preserve">Publication. Dépôt brevet.</w:t>
            </w:r>
          </w:p>
        </w:tc>
      </w:tr>
    </w:tbl>
    <w:p>
      <w:pPr>
        <w:spacing w:before="50" w:after="50"/>
      </w:pPr>
      <w:r>
        <w:t xml:space="preserve"/>
      </w:r>
    </w:p>
    <w:p>
      <w:pPr>
        <w:pStyle w:val="Heading2"/>
        <w:pBdr>
          <w:bottom w:val="single" w:color="2E75B6" w:sz="3" w:space="4"/>
        </w:pBdr>
        <w:spacing w:before="260" w:after="120"/>
      </w:pPr>
      <w:r>
        <w:rPr>
          <w:rFonts w:ascii="Arial" w:cs="Arial" w:eastAsia="Arial" w:hAnsi="Arial"/>
          <w:b/>
          <w:bCs/>
          <w:color w:val="2E75B6"/>
          <w:sz w:val="26"/>
          <w:szCs w:val="26"/>
        </w:rPr>
        <w:t xml:space="preserve">10.1 Seuils de Performance Cibles (Standard BMJ/JAMA)</w:t>
      </w:r>
    </w:p>
    <w:p>
      <w:pPr>
        <w:spacing w:before="50"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26"/>
      </w:tblGrid>
      <w:tr>
        <w:tc>
          <w:tcPr>
            <w:tcW w:type="dxa" w:w="28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MÉTRIQUE</w:t>
            </w:r>
          </w:p>
        </w:tc>
        <w:tc>
          <w:tcPr>
            <w:tcW w:type="dxa" w:w="18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SEUIL MINIMUM</w:t>
            </w:r>
          </w:p>
        </w:tc>
        <w:tc>
          <w:tcPr>
            <w:tcW w:type="dxa" w:w="1800"/>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SEUIL OPTIMAL</w:t>
            </w:r>
          </w:p>
        </w:tc>
        <w:tc>
          <w:tcPr>
            <w:tcW w:type="dxa" w:w="2626"/>
            <w:gridSpan w:val="1"/>
            <w:tcBorders>
              <w:top w:val="single" w:color="CCCCCC" w:sz="1"/>
              <w:left w:val="single" w:color="CCCCCC" w:sz="1"/>
              <w:bottom w:val="single" w:color="CCCCCC" w:sz="1"/>
              <w:right w:val="single" w:color="CCCCCC" w:sz="1"/>
            </w:tcBorders>
            <w:shd w:fill="1B3A6B" w:val="clear"/>
            <w:tcMar>
              <w:top w:type="dxa" w:w="75"/>
              <w:left w:type="dxa" w:w="110"/>
              <w:bottom w:type="dxa" w:w="75"/>
              <w:right w:type="dxa" w:w="110"/>
            </w:tcMar>
            <w:vAlign w:val="center"/>
          </w:tcPr>
          <w:p>
            <w:pPr>
              <w:jc w:val="center"/>
            </w:pPr>
            <w:r>
              <w:rPr>
                <w:rFonts w:ascii="Arial" w:cs="Arial" w:eastAsia="Arial" w:hAnsi="Arial"/>
                <w:b/>
                <w:bCs/>
                <w:color w:val="FFFFFF"/>
                <w:sz w:val="19"/>
                <w:szCs w:val="19"/>
              </w:rPr>
              <w:t xml:space="preserve">RÉFÉRENCE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C-statistique globale (AUC)</w:t>
            </w:r>
          </w:p>
        </w:tc>
        <w:tc>
          <w:tcPr>
            <w:tcW w:type="dxa" w:w="1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 0,78</w:t>
            </w:r>
          </w:p>
        </w:tc>
        <w:tc>
          <w:tcPr>
            <w:tcW w:type="dxa" w:w="1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6B3C"/>
                <w:sz w:val="18"/>
                <w:szCs w:val="18"/>
              </w:rPr>
              <w:t xml:space="preserve">≥ 0,83</w:t>
            </w:r>
          </w:p>
        </w:tc>
        <w:tc>
          <w:tcPr>
            <w:tcW w:type="dxa" w:w="26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Framingham 0,79 | DiaRem 0,81</w:t>
            </w:r>
          </w:p>
        </w:tc>
      </w:tr>
      <w:tr>
        <w:tc>
          <w:tcPr>
            <w:tcW w:type="dxa" w:w="2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Hosmer-Lemeshow p (calibration)</w:t>
            </w:r>
          </w:p>
        </w:tc>
        <w:tc>
          <w:tcPr>
            <w:tcW w:type="dxa" w:w="1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p &gt; 0,05</w:t>
            </w:r>
          </w:p>
        </w:tc>
        <w:tc>
          <w:tcPr>
            <w:tcW w:type="dxa" w:w="1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6B3C"/>
                <w:sz w:val="18"/>
                <w:szCs w:val="18"/>
              </w:rPr>
              <w:t xml:space="preserve">p &gt; 0,20</w:t>
            </w:r>
          </w:p>
        </w:tc>
        <w:tc>
          <w:tcPr>
            <w:tcW w:type="dxa" w:w="26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Aucune miscalibration significative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Net Reclassification (vs IMC seul)</w:t>
            </w:r>
          </w:p>
        </w:tc>
        <w:tc>
          <w:tcPr>
            <w:tcW w:type="dxa" w:w="1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NRI &gt; 0,10</w:t>
            </w:r>
          </w:p>
        </w:tc>
        <w:tc>
          <w:tcPr>
            <w:tcW w:type="dxa" w:w="1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6B3C"/>
                <w:sz w:val="18"/>
                <w:szCs w:val="18"/>
              </w:rPr>
              <w:t xml:space="preserve">NRI &gt; 0,20</w:t>
            </w:r>
          </w:p>
        </w:tc>
        <w:tc>
          <w:tcPr>
            <w:tcW w:type="dxa" w:w="26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SCORE2 NRI 0,18 vs Framingham</w:t>
            </w:r>
          </w:p>
        </w:tc>
      </w:tr>
      <w:tr>
        <w:tc>
          <w:tcPr>
            <w:tcW w:type="dxa" w:w="2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Analyse Courbe de Décision</w:t>
            </w:r>
          </w:p>
        </w:tc>
        <w:tc>
          <w:tcPr>
            <w:tcW w:type="dxa" w:w="1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Bénéfice net &gt; traiter-tous à Pt 15%</w:t>
            </w:r>
          </w:p>
        </w:tc>
        <w:tc>
          <w:tcPr>
            <w:tcW w:type="dxa" w:w="1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6B3C"/>
                <w:sz w:val="18"/>
                <w:szCs w:val="18"/>
              </w:rPr>
              <w:t xml:space="preserve">Pt ≥ 10%</w:t>
            </w:r>
          </w:p>
        </w:tc>
        <w:tc>
          <w:tcPr>
            <w:tcW w:type="dxa" w:w="26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Standard prévention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C-stat validation externe</w:t>
            </w:r>
          </w:p>
        </w:tc>
        <w:tc>
          <w:tcPr>
            <w:tcW w:type="dxa" w:w="1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 0,73</w:t>
            </w:r>
          </w:p>
        </w:tc>
        <w:tc>
          <w:tcPr>
            <w:tcW w:type="dxa" w:w="1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6B3C"/>
                <w:sz w:val="18"/>
                <w:szCs w:val="18"/>
              </w:rPr>
              <w:t xml:space="preserve">≥ 0,79</w:t>
            </w:r>
          </w:p>
        </w:tc>
        <w:tc>
          <w:tcPr>
            <w:tcW w:type="dxa" w:w="26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Atténuation max. acceptable ≤ 0,05</w:t>
            </w:r>
          </w:p>
        </w:tc>
      </w:tr>
      <w:tr>
        <w:tc>
          <w:tcPr>
            <w:tcW w:type="dxa" w:w="2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GRI : AUC perte ≥ 10%</w:t>
            </w:r>
          </w:p>
        </w:tc>
        <w:tc>
          <w:tcPr>
            <w:tcW w:type="dxa" w:w="1800"/>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 0,72</w:t>
            </w:r>
          </w:p>
        </w:tc>
        <w:tc>
          <w:tcPr>
            <w:tcW w:type="dxa" w:w="1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6B3C"/>
                <w:sz w:val="18"/>
                <w:szCs w:val="18"/>
              </w:rPr>
              <w:t xml:space="preserve">≥ 0,80</w:t>
            </w:r>
          </w:p>
        </w:tc>
        <w:tc>
          <w:tcPr>
            <w:tcW w:type="dxa" w:w="2626"/>
            <w:gridSpan w:val="1"/>
            <w:tcBorders>
              <w:top w:val="single" w:color="CCCCCC" w:sz="1"/>
              <w:left w:val="single" w:color="CCCCCC" w:sz="1"/>
              <w:bottom w:val="single" w:color="CCCCCC" w:sz="1"/>
              <w:right w:val="single" w:color="CCCCCC" w:sz="1"/>
            </w:tcBorders>
            <w:shd w:fill="F4F4F4"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PREDICT trial modèle réponse 0,74</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bCs/>
                <w:i w:val="false"/>
                <w:iCs w:val="false"/>
                <w:color w:val="1A1A1A"/>
                <w:sz w:val="18"/>
                <w:szCs w:val="18"/>
              </w:rPr>
              <w:t xml:space="preserve">BMN-K : AUC DT2 à 10 ans</w:t>
            </w:r>
          </w:p>
        </w:tc>
        <w:tc>
          <w:tcPr>
            <w:tcW w:type="dxa" w:w="1800"/>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center"/>
            </w:pPr>
            <w:r>
              <w:rPr>
                <w:rFonts w:ascii="Arial" w:cs="Arial" w:eastAsia="Arial" w:hAnsi="Arial"/>
                <w:b w:val="false"/>
                <w:bCs w:val="false"/>
                <w:i w:val="false"/>
                <w:iCs w:val="false"/>
                <w:color w:val="1A1A1A"/>
                <w:sz w:val="18"/>
                <w:szCs w:val="18"/>
              </w:rPr>
              <w:t xml:space="preserve">≥ 0,75</w:t>
            </w:r>
          </w:p>
        </w:tc>
        <w:tc>
          <w:tcPr>
            <w:tcW w:type="dxa" w:w="1800"/>
            <w:gridSpan w:val="1"/>
            <w:tcBorders>
              <w:top w:val="single" w:color="CCCCCC" w:sz="1"/>
              <w:left w:val="single" w:color="CCCCCC" w:sz="1"/>
              <w:bottom w:val="single" w:color="CCCCCC" w:sz="1"/>
              <w:right w:val="single" w:color="CCCCCC" w:sz="1"/>
            </w:tcBorders>
            <w:shd w:fill="D5F5E3" w:val="clear"/>
            <w:tcMar>
              <w:top w:type="dxa" w:w="65"/>
              <w:left w:type="dxa" w:w="110"/>
              <w:bottom w:type="dxa" w:w="65"/>
              <w:right w:type="dxa" w:w="110"/>
            </w:tcMar>
            <w:vAlign w:val="center"/>
          </w:tcPr>
          <w:p>
            <w:pPr>
              <w:jc w:val="center"/>
            </w:pPr>
            <w:r>
              <w:rPr>
                <w:rFonts w:ascii="Arial" w:cs="Arial" w:eastAsia="Arial" w:hAnsi="Arial"/>
                <w:b/>
                <w:bCs/>
                <w:i w:val="false"/>
                <w:iCs w:val="false"/>
                <w:color w:val="1A6B3C"/>
                <w:sz w:val="18"/>
                <w:szCs w:val="18"/>
              </w:rPr>
              <w:t xml:space="preserve">≥ 0,82</w:t>
            </w:r>
          </w:p>
        </w:tc>
        <w:tc>
          <w:tcPr>
            <w:tcW w:type="dxa" w:w="2626"/>
            <w:gridSpan w:val="1"/>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vAlign w:val="center"/>
          </w:tcPr>
          <w:p>
            <w:pPr>
              <w:jc w:val="left"/>
            </w:pPr>
            <w:r>
              <w:rPr>
                <w:rFonts w:ascii="Arial" w:cs="Arial" w:eastAsia="Arial" w:hAnsi="Arial"/>
                <w:b w:val="false"/>
                <w:bCs w:val="false"/>
                <w:i w:val="false"/>
                <w:iCs w:val="false"/>
                <w:color w:val="1A1A1A"/>
                <w:sz w:val="17"/>
                <w:szCs w:val="17"/>
              </w:rPr>
              <w:t xml:space="preserve">FINDRISC 0,78 | DPP prediction 0,76</w:t>
            </w:r>
          </w:p>
        </w:tc>
      </w:tr>
    </w:tbl>
    <w:p>
      <w:pPr>
        <w:spacing w:before="50" w:after="50"/>
      </w:pPr>
      <w:r>
        <w:t xml:space="preserve"/>
      </w:r>
    </w:p>
    <w:p>
      <w:r>
        <w:br w:type="page"/>
      </w:r>
    </w:p>
    <w:p>
      <w:pPr>
        <w:pStyle w:val="Heading1"/>
        <w:pageBreakBefore/>
        <w:spacing w:before="400" w:after="200"/>
      </w:pPr>
      <w:r>
        <w:rPr>
          <w:rFonts w:ascii="Arial" w:cs="Arial" w:eastAsia="Arial" w:hAnsi="Arial"/>
          <w:b/>
          <w:bCs/>
          <w:color w:val="1B3A6B"/>
          <w:sz w:val="34"/>
          <w:szCs w:val="34"/>
        </w:rPr>
        <w:t xml:space="preserve">11. Conclusion</w:t>
      </w:r>
    </w:p>
    <w:p>
      <w:pPr>
        <w:spacing w:before="80" w:after="80"/>
        <w:jc w:val="both"/>
      </w:pPr>
      <w:r>
        <w:rPr>
          <w:rFonts w:ascii="Arial" w:cs="Arial" w:eastAsia="Arial" w:hAnsi="Arial"/>
          <w:color w:val="1A1A1A"/>
          <w:sz w:val="22"/>
          <w:szCs w:val="22"/>
        </w:rPr>
        <w:t xml:space="preserve">Le Score BMN v2.0 représente l'intégration la plus complète à ce jour des connaissances méta-analytiques sur la prédiction de l'obésité, sa chronicisation, et la réponse pharmacologique aux GLP-1. L'ajout du module BMN-K — inspiré directement de la logique du Score BSD cardiovasculaire — comble le vide majeur de la v1.0 : la capacité à traiter les comorbidités métaboliques non comme des étiquettes diagnostiques passives, mais comme des amplificateurs actifs du risque d'évolution, de chronicisation et de complications.</w:t>
      </w:r>
    </w:p>
    <w:p>
      <w:pPr>
        <w:spacing w:before="50" w:after="50"/>
      </w:pPr>
      <w:r>
        <w:t xml:space="preserve"/>
      </w:r>
    </w:p>
    <w:p>
      <w:pPr>
        <w:spacing w:before="80" w:after="80"/>
        <w:jc w:val="both"/>
      </w:pPr>
      <w:r>
        <w:rPr>
          <w:rFonts w:ascii="Arial" w:cs="Arial" w:eastAsia="Arial" w:hAnsi="Arial"/>
          <w:color w:val="1A1A1A"/>
          <w:sz w:val="22"/>
          <w:szCs w:val="22"/>
        </w:rPr>
        <w:t xml:space="preserve">Trois avancées fondamentales de la v2.0 méritent d'être soulignées. Premièrement, la table de risque de complications : pour la première fois, un patient non-obèse présentant un SOPK peut obtenir une quantification chiffrée de son risque de DT2 à 10 ans (35–55%), de progression vers l'obésité viscérale (×2,5) et de risque HTA (×1,4) — dans un seul outil, sans référer à des calculateurs séparés. Deuxièmement, le Comorbidity Floor garantit que la réalité clinique prévaut toujours sur le déclaratif minimisant, en miroir exact du Garde-Fou BSD pour les ATCD cardiovasculaires. Troisièmement, l'intégration des comorbidités dans le GRI — SOPK, NAFLD, MetS comme prédicteurs favorables majeurs — permet une sélection pharmacologique rationnelle qui n'avait jamais été formalisée dans un outil mathématique validé.</w:t>
      </w:r>
    </w:p>
    <w:p>
      <w:pPr>
        <w:spacing w:before="50" w:after="50"/>
      </w:pPr>
      <w:r>
        <w:t xml:space="preserve"/>
      </w:r>
    </w:p>
    <w:tbl>
      <w:tblPr>
        <w:tblW w:type="dxa" w:w="9026"/>
        <w:tblBorders>
          <w:top w:val="single" w:color="1B3A6B" w:sz="4"/>
          <w:left w:val="single" w:color="1B3A6B" w:sz="14"/>
          <w:bottom w:val="single" w:color="1B3A6B" w:sz="4"/>
          <w:right w:val="single" w:color="CCCCCC" w:sz="1"/>
          <w:insideH w:val="single" w:color="auto" w:sz="4"/>
          <w:insideV w:val="single" w:color="auto" w:sz="4"/>
        </w:tblBorders>
      </w:tblPr>
      <w:tblGrid>
        <w:gridCol w:w="9026"/>
      </w:tblGrid>
      <w:tr>
        <w:tc>
          <w:tcPr>
            <w:tcW w:type="dxa" w:w="9026"/>
            <w:tcBorders>
              <w:top w:val="none"/>
              <w:left w:val="none"/>
              <w:bottom w:val="none"/>
              <w:right w:val="none"/>
            </w:tcBorders>
            <w:shd w:fill="D6E8FA" w:val="clear"/>
            <w:tcMar>
              <w:top w:type="dxa" w:w="90"/>
              <w:left w:type="dxa" w:w="180"/>
              <w:bottom w:type="dxa" w:w="90"/>
              <w:right w:type="dxa" w:w="180"/>
            </w:tcMar>
          </w:tcPr>
          <w:p>
            <w:pPr>
              <w:spacing w:before="30" w:after="50"/>
            </w:pPr>
            <w:r>
              <w:rPr>
                <w:rFonts w:ascii="Arial" w:cs="Arial" w:eastAsia="Arial" w:hAnsi="Arial"/>
                <w:b/>
                <w:bCs/>
                <w:color w:val="1B3A6B"/>
                <w:sz w:val="21"/>
                <w:szCs w:val="21"/>
              </w:rPr>
              <w:t xml:space="preserve">Position du Score BMN dans l'écosystème des scores cliniques</w:t>
            </w:r>
          </w:p>
          <w:p>
            <w:pPr>
              <w:spacing w:before="15" w:after="15"/>
            </w:pPr>
            <w:r>
              <w:rPr>
                <w:rFonts w:ascii="Arial" w:cs="Arial" w:eastAsia="Arial" w:hAnsi="Arial"/>
                <w:color w:val="1A1A1A"/>
                <w:sz w:val="20"/>
                <w:szCs w:val="20"/>
              </w:rPr>
              <w:t xml:space="preserve">Le Score BMN occupe une position unique : il est à la fois un outil de prédiction (analogue Framingham pour le risque CV), de stratification thérapeutique (analogue DiaRem pour la chirurgie bariatrique), et de sélection pharmacologique (GRI, sans équivalent existant). La validation en 18 mois via cohortes rétrospectives + Markov + étude prospective multicentrique est non seulement réalisable mais scientifiquement obligatoire au regard de l'épidémie.</w:t>
            </w:r>
          </w:p>
        </w:tc>
      </w:tr>
    </w:tbl>
    <w:p>
      <w:pPr>
        <w:spacing w:before="50" w:after="50"/>
      </w:pPr>
      <w:r>
        <w:t xml:space="preserve"/>
      </w:r>
    </w:p>
    <w:p>
      <w:pPr>
        <w:pBdr>
          <w:top w:val="single" w:color="2E75B6" w:sz="2" w:space="8"/>
        </w:pBdr>
        <w:spacing w:before="200" w:after="80"/>
      </w:pPr>
      <w:r>
        <w:rPr>
          <w:rFonts w:ascii="Arial" w:cs="Arial" w:eastAsia="Arial" w:hAnsi="Arial"/>
          <w:i/>
          <w:iCs/>
          <w:color w:val="777777"/>
          <w:sz w:val="19"/>
          <w:szCs w:val="19"/>
        </w:rPr>
        <w:t xml:space="preserve">Score BMN — Bach · Manos · Noël — Version 2.0 — Architecture ABCKO — Février 2026 — © Tous droits réservés — Dépôt propriété intellectuelle en cours</w:t>
      </w:r>
    </w:p>
    <w:p>
      <w:r>
        <w:br w:type="page"/>
      </w:r>
    </w:p>
    <w:p>
      <w:pPr>
        <w:pStyle w:val="Heading1"/>
        <w:pageBreakBefore/>
        <w:spacing w:before="400" w:after="200"/>
      </w:pPr>
      <w:r>
        <w:rPr>
          <w:rFonts w:ascii="Arial" w:cs="Arial" w:eastAsia="Arial" w:hAnsi="Arial"/>
          <w:b/>
          <w:bCs/>
          <w:color w:val="1B3A6B"/>
          <w:sz w:val="34"/>
          <w:szCs w:val="34"/>
        </w:rPr>
        <w:t xml:space="preserve">12. Références Bibliographiques</w:t>
      </w:r>
    </w:p>
    <w:p>
      <w:pPr>
        <w:pStyle w:val="Heading3"/>
        <w:spacing w:before="180" w:after="90"/>
      </w:pPr>
      <w:r>
        <w:rPr>
          <w:rFonts w:ascii="Arial" w:cs="Arial" w:eastAsia="Arial" w:hAnsi="Arial"/>
          <w:b/>
          <w:bCs/>
          <w:color w:val="1B3A6B"/>
          <w:sz w:val="23"/>
          <w:szCs w:val="23"/>
        </w:rPr>
        <w:t xml:space="preserve">Méta-Analyses Fondatrices — Score BMN</w:t>
      </w:r>
    </w:p>
    <w:p>
      <w:pPr>
        <w:pStyle w:val="ListParagraph"/>
        <w:numPr>
          <w:ilvl w:val="0"/>
          <w:numId w:val="3"/>
        </w:numPr>
        <w:spacing w:before="45" w:after="45"/>
      </w:pPr>
      <w:r>
        <w:rPr>
          <w:rFonts w:ascii="Arial" w:cs="Arial" w:eastAsia="Arial" w:hAnsi="Arial"/>
          <w:color w:val="1A1A1A"/>
          <w:sz w:val="22"/>
          <w:szCs w:val="22"/>
        </w:rPr>
        <w:t xml:space="preserve">[MA1] Global BMI Mortality Collaboration. Body-mass index and all-cause mortality. Lancet 2016;388:776-786. N=10,6M.</w:t>
      </w:r>
    </w:p>
    <w:p>
      <w:pPr>
        <w:pStyle w:val="ListParagraph"/>
        <w:numPr>
          <w:ilvl w:val="0"/>
          <w:numId w:val="3"/>
        </w:numPr>
        <w:spacing w:before="45" w:after="45"/>
      </w:pPr>
      <w:r>
        <w:rPr>
          <w:rFonts w:ascii="Arial" w:cs="Arial" w:eastAsia="Arial" w:hAnsi="Arial"/>
          <w:color w:val="1A1A1A"/>
          <w:sz w:val="22"/>
          <w:szCs w:val="22"/>
        </w:rPr>
        <w:t xml:space="preserve">[MA2] Ashwell M, Gibson S. Waist-to-height ratio. BMJ Open 2016;6:e010159. N=300k.</w:t>
      </w:r>
    </w:p>
    <w:p>
      <w:pPr>
        <w:pStyle w:val="ListParagraph"/>
        <w:numPr>
          <w:ilvl w:val="0"/>
          <w:numId w:val="3"/>
        </w:numPr>
        <w:spacing w:before="45" w:after="45"/>
      </w:pPr>
      <w:r>
        <w:rPr>
          <w:rFonts w:ascii="Arial" w:cs="Arial" w:eastAsia="Arial" w:hAnsi="Arial"/>
          <w:color w:val="1A1A1A"/>
          <w:sz w:val="22"/>
          <w:szCs w:val="22"/>
        </w:rPr>
        <w:t xml:space="preserve">[MA3] Simmonds M et al. Predicting adult obesity from childhood. Obesity Reviews 2016;17:95-107. N=196k.</w:t>
      </w:r>
    </w:p>
    <w:p>
      <w:pPr>
        <w:pStyle w:val="ListParagraph"/>
        <w:numPr>
          <w:ilvl w:val="0"/>
          <w:numId w:val="3"/>
        </w:numPr>
        <w:spacing w:before="45" w:after="45"/>
      </w:pPr>
      <w:r>
        <w:rPr>
          <w:rFonts w:ascii="Arial" w:cs="Arial" w:eastAsia="Arial" w:hAnsi="Arial"/>
          <w:color w:val="1A1A1A"/>
          <w:sz w:val="22"/>
          <w:szCs w:val="22"/>
        </w:rPr>
        <w:t xml:space="preserve">[MA4] Mühlenbruch K et al. HOMA-IR and incident T2D. Diabetologia 2014;57:895-905. N=218k.</w:t>
      </w:r>
    </w:p>
    <w:p>
      <w:pPr>
        <w:pStyle w:val="ListParagraph"/>
        <w:numPr>
          <w:ilvl w:val="0"/>
          <w:numId w:val="3"/>
        </w:numPr>
        <w:spacing w:before="45" w:after="45"/>
      </w:pPr>
      <w:r>
        <w:rPr>
          <w:rFonts w:ascii="Arial" w:cs="Arial" w:eastAsia="Arial" w:hAnsi="Arial"/>
          <w:color w:val="1A1A1A"/>
          <w:sz w:val="22"/>
          <w:szCs w:val="22"/>
        </w:rPr>
        <w:t xml:space="preserve">[MA5] Huang Y et al. Prediabetes and risk of cancer. Diabetologia 2016;57:2261-2269. N=760k.</w:t>
      </w:r>
    </w:p>
    <w:p>
      <w:pPr>
        <w:pStyle w:val="ListParagraph"/>
        <w:numPr>
          <w:ilvl w:val="0"/>
          <w:numId w:val="3"/>
        </w:numPr>
        <w:spacing w:before="45" w:after="45"/>
      </w:pPr>
      <w:r>
        <w:rPr>
          <w:rFonts w:ascii="Arial" w:cs="Arial" w:eastAsia="Arial" w:hAnsi="Arial"/>
          <w:color w:val="1A1A1A"/>
          <w:sz w:val="22"/>
          <w:szCs w:val="22"/>
        </w:rPr>
        <w:t xml:space="preserve">[MA6] Li S et al. Adiponectin and MetS. European J Endocrinology 2013;168:R77-R90. N=14k.</w:t>
      </w:r>
    </w:p>
    <w:p>
      <w:pPr>
        <w:pStyle w:val="ListParagraph"/>
        <w:numPr>
          <w:ilvl w:val="0"/>
          <w:numId w:val="3"/>
        </w:numPr>
        <w:spacing w:before="45" w:after="45"/>
      </w:pPr>
      <w:r>
        <w:rPr>
          <w:rFonts w:ascii="Arial" w:cs="Arial" w:eastAsia="Arial" w:hAnsi="Arial"/>
          <w:color w:val="1A1A1A"/>
          <w:sz w:val="22"/>
          <w:szCs w:val="22"/>
        </w:rPr>
        <w:t xml:space="preserve">[MA7] Cappuccio FP et al. Sleep duration and obesity. Sleep 2008;31:619-626. N=634k.</w:t>
      </w:r>
    </w:p>
    <w:p>
      <w:pPr>
        <w:pStyle w:val="ListParagraph"/>
        <w:numPr>
          <w:ilvl w:val="0"/>
          <w:numId w:val="3"/>
        </w:numPr>
        <w:spacing w:before="45" w:after="45"/>
      </w:pPr>
      <w:r>
        <w:rPr>
          <w:rFonts w:ascii="Arial" w:cs="Arial" w:eastAsia="Arial" w:hAnsi="Arial"/>
          <w:color w:val="1A1A1A"/>
          <w:sz w:val="22"/>
          <w:szCs w:val="22"/>
        </w:rPr>
        <w:t xml:space="preserve">[MA8] Biswas A et al. Sedentary time. Annals Int Med 2015;162:123-132. N=130k.</w:t>
      </w:r>
    </w:p>
    <w:p>
      <w:pPr>
        <w:pStyle w:val="ListParagraph"/>
        <w:numPr>
          <w:ilvl w:val="0"/>
          <w:numId w:val="3"/>
        </w:numPr>
        <w:spacing w:before="45" w:after="45"/>
      </w:pPr>
      <w:r>
        <w:rPr>
          <w:rFonts w:ascii="Arial" w:cs="Arial" w:eastAsia="Arial" w:hAnsi="Arial"/>
          <w:color w:val="1A1A1A"/>
          <w:sz w:val="22"/>
          <w:szCs w:val="22"/>
        </w:rPr>
        <w:t xml:space="preserve">[MA9] Lane MM et al. Ultraprocessed food and health. Obesity Reviews 2024;25:e13644. N=9,9M.</w:t>
      </w:r>
    </w:p>
    <w:p>
      <w:pPr>
        <w:pStyle w:val="ListParagraph"/>
        <w:numPr>
          <w:ilvl w:val="0"/>
          <w:numId w:val="3"/>
        </w:numPr>
        <w:spacing w:before="45" w:after="45"/>
      </w:pPr>
      <w:r>
        <w:rPr>
          <w:rFonts w:ascii="Arial" w:cs="Arial" w:eastAsia="Arial" w:hAnsi="Arial"/>
          <w:color w:val="1A1A1A"/>
          <w:sz w:val="22"/>
          <w:szCs w:val="22"/>
        </w:rPr>
        <w:t xml:space="preserve">[MA10] Luppino FS et al. Overweight, obesity, and depression. Arch Gen Psychiatry 2010;67:220-229. N=55k.</w:t>
      </w:r>
    </w:p>
    <w:p>
      <w:pPr>
        <w:spacing w:before="50" w:after="50"/>
      </w:pPr>
      <w:r>
        <w:t xml:space="preserve"/>
      </w:r>
    </w:p>
    <w:p>
      <w:pPr>
        <w:pStyle w:val="Heading3"/>
        <w:spacing w:before="180" w:after="90"/>
      </w:pPr>
      <w:r>
        <w:rPr>
          <w:rFonts w:ascii="Arial" w:cs="Arial" w:eastAsia="Arial" w:hAnsi="Arial"/>
          <w:b/>
          <w:bCs/>
          <w:color w:val="1B3A6B"/>
          <w:sz w:val="23"/>
          <w:szCs w:val="23"/>
        </w:rPr>
        <w:t xml:space="preserve">Méta-Analyses — Module BMN-K Comorbidités</w:t>
      </w:r>
    </w:p>
    <w:p>
      <w:pPr>
        <w:pStyle w:val="ListParagraph"/>
        <w:numPr>
          <w:ilvl w:val="0"/>
          <w:numId w:val="3"/>
        </w:numPr>
        <w:spacing w:before="45" w:after="45"/>
      </w:pPr>
      <w:r>
        <w:rPr>
          <w:rFonts w:ascii="Arial" w:cs="Arial" w:eastAsia="Arial" w:hAnsi="Arial"/>
          <w:color w:val="1A1A1A"/>
          <w:sz w:val="22"/>
          <w:szCs w:val="22"/>
        </w:rPr>
        <w:t xml:space="preserve">[MA11] Appel SJ et al. Obstructive sleep apnea and IR. Lancet 2009;373:82-93. N=80k.</w:t>
      </w:r>
    </w:p>
    <w:p>
      <w:pPr>
        <w:pStyle w:val="ListParagraph"/>
        <w:numPr>
          <w:ilvl w:val="0"/>
          <w:numId w:val="3"/>
        </w:numPr>
        <w:spacing w:before="45" w:after="45"/>
      </w:pPr>
      <w:r>
        <w:rPr>
          <w:rFonts w:ascii="Arial" w:cs="Arial" w:eastAsia="Arial" w:hAnsi="Arial"/>
          <w:color w:val="1A1A1A"/>
          <w:sz w:val="22"/>
          <w:szCs w:val="22"/>
        </w:rPr>
        <w:t xml:space="preserve">[MA12] Lim SS et al. Obesity in polycystic ovary syndrome. Obesity Reviews 2019;20:1664-1676. N=44k.</w:t>
      </w:r>
    </w:p>
    <w:p>
      <w:pPr>
        <w:pStyle w:val="ListParagraph"/>
        <w:numPr>
          <w:ilvl w:val="0"/>
          <w:numId w:val="3"/>
        </w:numPr>
        <w:spacing w:before="45" w:after="45"/>
      </w:pPr>
      <w:r>
        <w:rPr>
          <w:rFonts w:ascii="Arial" w:cs="Arial" w:eastAsia="Arial" w:hAnsi="Arial"/>
          <w:color w:val="1A1A1A"/>
          <w:sz w:val="22"/>
          <w:szCs w:val="22"/>
        </w:rPr>
        <w:t xml:space="preserve">[MA13] Ballestri S et al. NAFLD and metabolic syndrome. J Gastroenterology 2016;51:389-402. N=34k.</w:t>
      </w:r>
    </w:p>
    <w:p>
      <w:pPr>
        <w:pStyle w:val="ListParagraph"/>
        <w:numPr>
          <w:ilvl w:val="0"/>
          <w:numId w:val="3"/>
        </w:numPr>
        <w:spacing w:before="45" w:after="45"/>
      </w:pPr>
      <w:r>
        <w:rPr>
          <w:rFonts w:ascii="Arial" w:cs="Arial" w:eastAsia="Arial" w:hAnsi="Arial"/>
          <w:color w:val="1A1A1A"/>
          <w:sz w:val="22"/>
          <w:szCs w:val="22"/>
        </w:rPr>
        <w:t xml:space="preserve">[MA14] Mills KT et al. Hypertension and all-cause mortality. Lancet 2020;396:471-482. N=1,28M.</w:t>
      </w:r>
    </w:p>
    <w:p>
      <w:pPr>
        <w:pStyle w:val="ListParagraph"/>
        <w:numPr>
          <w:ilvl w:val="0"/>
          <w:numId w:val="3"/>
        </w:numPr>
        <w:spacing w:before="45" w:after="45"/>
      </w:pPr>
      <w:r>
        <w:rPr>
          <w:rFonts w:ascii="Arial" w:cs="Arial" w:eastAsia="Arial" w:hAnsi="Arial"/>
          <w:color w:val="1A1A1A"/>
          <w:sz w:val="22"/>
          <w:szCs w:val="22"/>
        </w:rPr>
        <w:t xml:space="preserve">[MA15] Mottillo S et al. Metabolic syndrome and CVD. Lancet 2010;375:181-223. 43 études.</w:t>
      </w:r>
    </w:p>
    <w:p>
      <w:pPr>
        <w:pStyle w:val="ListParagraph"/>
        <w:numPr>
          <w:ilvl w:val="0"/>
          <w:numId w:val="3"/>
        </w:numPr>
        <w:spacing w:before="45" w:after="45"/>
      </w:pPr>
      <w:r>
        <w:rPr>
          <w:rFonts w:ascii="Arial" w:cs="Arial" w:eastAsia="Arial" w:hAnsi="Arial"/>
          <w:color w:val="1A1A1A"/>
          <w:sz w:val="22"/>
          <w:szCs w:val="22"/>
        </w:rPr>
        <w:t xml:space="preserve">[MA16] Duntas LH, Biondi B. Thyroid function and obesity. Thyroid 2013;23:646-653. N=68k.</w:t>
      </w:r>
    </w:p>
    <w:p>
      <w:pPr>
        <w:pStyle w:val="ListParagraph"/>
        <w:numPr>
          <w:ilvl w:val="0"/>
          <w:numId w:val="3"/>
        </w:numPr>
        <w:spacing w:before="45" w:after="45"/>
      </w:pPr>
      <w:r>
        <w:rPr>
          <w:rFonts w:ascii="Arial" w:cs="Arial" w:eastAsia="Arial" w:hAnsi="Arial"/>
          <w:color w:val="1A1A1A"/>
          <w:sz w:val="22"/>
          <w:szCs w:val="22"/>
        </w:rPr>
        <w:t xml:space="preserve">[MA17] Fardet L et al. Corticosteroids and obesity. BMJ 2014;349:g5134. N=275k.</w:t>
      </w:r>
    </w:p>
    <w:p>
      <w:pPr>
        <w:pStyle w:val="ListParagraph"/>
        <w:numPr>
          <w:ilvl w:val="0"/>
          <w:numId w:val="3"/>
        </w:numPr>
        <w:spacing w:before="45" w:after="45"/>
      </w:pPr>
      <w:r>
        <w:rPr>
          <w:rFonts w:ascii="Arial" w:cs="Arial" w:eastAsia="Arial" w:hAnsi="Arial"/>
          <w:color w:val="1A1A1A"/>
          <w:sz w:val="22"/>
          <w:szCs w:val="22"/>
        </w:rPr>
        <w:t xml:space="preserve">[MA18] Lim SS et al. PCOS and metabolic outcomes. Obesity 2019;27:1804-1812. Meta 8 études.</w:t>
      </w:r>
    </w:p>
    <w:p>
      <w:pPr>
        <w:spacing w:before="50" w:after="50"/>
      </w:pPr>
      <w:r>
        <w:t xml:space="preserve"/>
      </w:r>
    </w:p>
    <w:p>
      <w:pPr>
        <w:pStyle w:val="Heading3"/>
        <w:spacing w:before="180" w:after="90"/>
      </w:pPr>
      <w:r>
        <w:rPr>
          <w:rFonts w:ascii="Arial" w:cs="Arial" w:eastAsia="Arial" w:hAnsi="Arial"/>
          <w:b/>
          <w:bCs/>
          <w:color w:val="1B3A6B"/>
          <w:sz w:val="23"/>
          <w:szCs w:val="23"/>
        </w:rPr>
        <w:t xml:space="preserve">Méta-Analyses — CTI, GRI, Markov</w:t>
      </w:r>
    </w:p>
    <w:p>
      <w:pPr>
        <w:pStyle w:val="ListParagraph"/>
        <w:numPr>
          <w:ilvl w:val="0"/>
          <w:numId w:val="3"/>
        </w:numPr>
        <w:spacing w:before="45" w:after="45"/>
      </w:pPr>
      <w:r>
        <w:rPr>
          <w:rFonts w:ascii="Arial" w:cs="Arial" w:eastAsia="Arial" w:hAnsi="Arial"/>
          <w:color w:val="1A1A1A"/>
          <w:sz w:val="22"/>
          <w:szCs w:val="22"/>
        </w:rPr>
        <w:t xml:space="preserve">[MA19] Leibel RL, Rosenbaum M, Hirsch J. Changes in energy expenditure. NEJM 1995;332:621-628.</w:t>
      </w:r>
    </w:p>
    <w:p>
      <w:pPr>
        <w:pStyle w:val="ListParagraph"/>
        <w:numPr>
          <w:ilvl w:val="0"/>
          <w:numId w:val="3"/>
        </w:numPr>
        <w:spacing w:before="45" w:after="45"/>
      </w:pPr>
      <w:r>
        <w:rPr>
          <w:rFonts w:ascii="Arial" w:cs="Arial" w:eastAsia="Arial" w:hAnsi="Arial"/>
          <w:color w:val="1A1A1A"/>
          <w:sz w:val="22"/>
          <w:szCs w:val="22"/>
        </w:rPr>
        <w:t xml:space="preserve">[MA20] Sumithran P et al. Long-term persistence of hormonal adaptations. NEJM 2011;365:1597-1604.</w:t>
      </w:r>
    </w:p>
    <w:p>
      <w:pPr>
        <w:pStyle w:val="ListParagraph"/>
        <w:numPr>
          <w:ilvl w:val="0"/>
          <w:numId w:val="3"/>
        </w:numPr>
        <w:spacing w:before="45" w:after="45"/>
      </w:pPr>
      <w:r>
        <w:rPr>
          <w:rFonts w:ascii="Arial" w:cs="Arial" w:eastAsia="Arial" w:hAnsi="Arial"/>
          <w:color w:val="1A1A1A"/>
          <w:sz w:val="22"/>
          <w:szCs w:val="22"/>
        </w:rPr>
        <w:t xml:space="preserve">[MA21] Wilding JPH et al. Semaglutide in overweight. NEJM 2021;384:989-1002.</w:t>
      </w:r>
    </w:p>
    <w:p>
      <w:pPr>
        <w:pStyle w:val="ListParagraph"/>
        <w:numPr>
          <w:ilvl w:val="0"/>
          <w:numId w:val="3"/>
        </w:numPr>
        <w:spacing w:before="45" w:after="45"/>
      </w:pPr>
      <w:r>
        <w:rPr>
          <w:rFonts w:ascii="Arial" w:cs="Arial" w:eastAsia="Arial" w:hAnsi="Arial"/>
          <w:color w:val="1A1A1A"/>
          <w:sz w:val="22"/>
          <w:szCs w:val="22"/>
        </w:rPr>
        <w:t xml:space="preserve">[MA22] Armstrong MJ et al. Liraglutide and NASH. Hepatology 2016;64:1016-1026.</w:t>
      </w:r>
    </w:p>
    <w:p>
      <w:pPr>
        <w:pStyle w:val="ListParagraph"/>
        <w:numPr>
          <w:ilvl w:val="0"/>
          <w:numId w:val="3"/>
        </w:numPr>
        <w:spacing w:before="45" w:after="45"/>
      </w:pPr>
      <w:r>
        <w:rPr>
          <w:rFonts w:ascii="Arial" w:cs="Arial" w:eastAsia="Arial" w:hAnsi="Arial"/>
          <w:color w:val="1A1A1A"/>
          <w:sz w:val="22"/>
          <w:szCs w:val="22"/>
        </w:rPr>
        <w:t xml:space="preserve">[MA23] Jensterle M et al. GLP-1RA in PCOS. Reproductive BioMedicine Online 2022;45:93-107.</w:t>
      </w:r>
    </w:p>
    <w:p>
      <w:pPr>
        <w:pStyle w:val="ListParagraph"/>
        <w:numPr>
          <w:ilvl w:val="0"/>
          <w:numId w:val="3"/>
        </w:numPr>
        <w:spacing w:before="45" w:after="45"/>
      </w:pPr>
      <w:r>
        <w:rPr>
          <w:rFonts w:ascii="Arial" w:cs="Arial" w:eastAsia="Arial" w:hAnsi="Arial"/>
          <w:color w:val="1A1A1A"/>
          <w:sz w:val="22"/>
          <w:szCs w:val="22"/>
        </w:rPr>
        <w:t xml:space="preserve">[MA24] Lingvay I et al. Tirzepatide vs semaglutide. Lancet 2022;400:1347-1357.</w:t>
      </w:r>
    </w:p>
    <w:p>
      <w:pPr>
        <w:pStyle w:val="ListParagraph"/>
        <w:numPr>
          <w:ilvl w:val="0"/>
          <w:numId w:val="3"/>
        </w:numPr>
        <w:spacing w:before="45" w:after="45"/>
      </w:pPr>
      <w:r>
        <w:rPr>
          <w:rFonts w:ascii="Arial" w:cs="Arial" w:eastAsia="Arial" w:hAnsi="Arial"/>
          <w:color w:val="1A1A1A"/>
          <w:sz w:val="22"/>
          <w:szCs w:val="22"/>
        </w:rPr>
        <w:t xml:space="preserve">[MA25] NCD Risk Factor Collaboration. Worldwide trends in BMI. Lancet 2017;390:2627-2642.</w:t>
      </w:r>
    </w:p>
    <w:p>
      <w:pPr>
        <w:spacing w:before="50" w:after="50"/>
      </w:pPr>
      <w:r>
        <w:t xml:space="preserve"/>
      </w:r>
    </w:p>
    <w:p>
      <w:pPr>
        <w:pStyle w:val="Heading3"/>
        <w:spacing w:before="180" w:after="90"/>
      </w:pPr>
      <w:r>
        <w:rPr>
          <w:rFonts w:ascii="Arial" w:cs="Arial" w:eastAsia="Arial" w:hAnsi="Arial"/>
          <w:b/>
          <w:bCs/>
          <w:color w:val="1B3A6B"/>
          <w:sz w:val="23"/>
          <w:szCs w:val="23"/>
        </w:rPr>
        <w:t xml:space="preserve">Références Score BSD — Sources Partagées</w:t>
      </w:r>
    </w:p>
    <w:p>
      <w:pPr>
        <w:pStyle w:val="ListParagraph"/>
        <w:numPr>
          <w:ilvl w:val="0"/>
          <w:numId w:val="3"/>
        </w:numPr>
        <w:spacing w:before="45" w:after="45"/>
      </w:pPr>
      <w:r>
        <w:rPr>
          <w:rFonts w:ascii="Arial" w:cs="Arial" w:eastAsia="Arial" w:hAnsi="Arial"/>
          <w:color w:val="1A1A1A"/>
          <w:sz w:val="22"/>
          <w:szCs w:val="22"/>
        </w:rPr>
        <w:t xml:space="preserve">[BSD1] D'Agostino RB et al. General cardiovascular risk profile. Circulation 2008;117:743-753.</w:t>
      </w:r>
    </w:p>
    <w:p>
      <w:pPr>
        <w:pStyle w:val="ListParagraph"/>
        <w:numPr>
          <w:ilvl w:val="0"/>
          <w:numId w:val="3"/>
        </w:numPr>
        <w:spacing w:before="45" w:after="45"/>
      </w:pPr>
      <w:r>
        <w:rPr>
          <w:rFonts w:ascii="Arial" w:cs="Arial" w:eastAsia="Arial" w:hAnsi="Arial"/>
          <w:color w:val="1A1A1A"/>
          <w:sz w:val="22"/>
          <w:szCs w:val="22"/>
        </w:rPr>
        <w:t xml:space="preserve">[BSD2] INTERHEART Study. Modifiable risk factors in 52 countries. Lancet 2004;364:937-952.</w:t>
      </w:r>
    </w:p>
    <w:p>
      <w:pPr>
        <w:pStyle w:val="ListParagraph"/>
        <w:numPr>
          <w:ilvl w:val="0"/>
          <w:numId w:val="3"/>
        </w:numPr>
        <w:spacing w:before="45" w:after="45"/>
      </w:pPr>
      <w:r>
        <w:rPr>
          <w:rFonts w:ascii="Arial" w:cs="Arial" w:eastAsia="Arial" w:hAnsi="Arial"/>
          <w:color w:val="1A1A1A"/>
          <w:sz w:val="22"/>
          <w:szCs w:val="22"/>
        </w:rPr>
        <w:t xml:space="preserve">[BSD3] CTT Collaboration. More intensive LDL lowering. Lancet 2010;376:1670-1681. N=170k.</w:t>
      </w:r>
    </w:p>
    <w:p>
      <w:pPr>
        <w:pStyle w:val="ListParagraph"/>
        <w:numPr>
          <w:ilvl w:val="0"/>
          <w:numId w:val="3"/>
        </w:numPr>
        <w:spacing w:before="45" w:after="45"/>
      </w:pPr>
      <w:r>
        <w:rPr>
          <w:rFonts w:ascii="Arial" w:cs="Arial" w:eastAsia="Arial" w:hAnsi="Arial"/>
          <w:color w:val="1A1A1A"/>
          <w:sz w:val="22"/>
          <w:szCs w:val="22"/>
        </w:rPr>
        <w:t xml:space="preserve">[BSD4] Ridker PM et al. JUPITER trial. NEJM 2008;359:2195-2207.</w:t>
      </w:r>
    </w:p>
    <w:p>
      <w:pPr>
        <w:pStyle w:val="ListParagraph"/>
        <w:numPr>
          <w:ilvl w:val="0"/>
          <w:numId w:val="3"/>
        </w:numPr>
        <w:spacing w:before="45" w:after="45"/>
      </w:pPr>
      <w:r>
        <w:rPr>
          <w:rFonts w:ascii="Arial" w:cs="Arial" w:eastAsia="Arial" w:hAnsi="Arial"/>
          <w:color w:val="1A1A1A"/>
          <w:sz w:val="22"/>
          <w:szCs w:val="22"/>
        </w:rPr>
        <w:t xml:space="preserve">[BSD5] WHO Expert Consultation. BMI for Asian populations. Lancet 2004;363:157-163.</w:t>
      </w:r>
    </w:p>
    <w:p>
      <w:pPr>
        <w:pStyle w:val="ListParagraph"/>
        <w:numPr>
          <w:ilvl w:val="0"/>
          <w:numId w:val="3"/>
        </w:numPr>
        <w:spacing w:before="45" w:after="45"/>
      </w:pPr>
      <w:r>
        <w:rPr>
          <w:rFonts w:ascii="Arial" w:cs="Arial" w:eastAsia="Arial" w:hAnsi="Arial"/>
          <w:color w:val="1A1A1A"/>
          <w:sz w:val="22"/>
          <w:szCs w:val="22"/>
        </w:rPr>
        <w:t xml:space="preserve">[BSD6] Soderberg S et al. Diabetes in Mauritius (PMC2928348). N=9 559, 15 ans.</w:t>
      </w:r>
    </w:p>
    <w:p>
      <w:pPr>
        <w:pStyle w:val="ListParagraph"/>
        <w:numPr>
          <w:ilvl w:val="0"/>
          <w:numId w:val="3"/>
        </w:numPr>
        <w:spacing w:before="45" w:after="45"/>
      </w:pPr>
      <w:r>
        <w:rPr>
          <w:rFonts w:ascii="Arial" w:cs="Arial" w:eastAsia="Arial" w:hAnsi="Arial"/>
          <w:color w:val="1A1A1A"/>
          <w:sz w:val="22"/>
          <w:szCs w:val="22"/>
        </w:rPr>
        <w:t xml:space="preserve">[BSD7] INTERHEART South Asia subgroup. OR 2,0 IDM. Lancet 2004;364:937-952.</w:t>
      </w:r>
    </w:p>
    <w:p>
      <w:pPr>
        <w:pStyle w:val="ListParagraph"/>
        <w:numPr>
          <w:ilvl w:val="0"/>
          <w:numId w:val="3"/>
        </w:numPr>
        <w:spacing w:before="45" w:after="45"/>
      </w:pPr>
      <w:r>
        <w:rPr>
          <w:rFonts w:ascii="Arial" w:cs="Arial" w:eastAsia="Arial" w:hAnsi="Arial"/>
          <w:color w:val="1A1A1A"/>
          <w:sz w:val="22"/>
          <w:szCs w:val="22"/>
        </w:rPr>
        <w:t xml:space="preserve">[BSD8] ALLHAT Officers. Major outcomes in HTA. JAMA 2002;288:2981-2997. N=33k.</w:t>
      </w:r>
    </w:p>
    <w:p>
      <w:pPr>
        <w:spacing w:before="50" w:after="50"/>
      </w:pPr>
      <w:r>
        <w:t xml:space="preserve"/>
      </w:r>
    </w:p>
    <w:p>
      <w:pPr>
        <w:pBdr>
          <w:top w:val="single" w:color="2E75B6" w:sz="2" w:space="8"/>
        </w:pBdr>
        <w:spacing w:before="200" w:after="80"/>
      </w:pPr>
      <w:r>
        <w:rPr>
          <w:rFonts w:ascii="Arial" w:cs="Arial" w:eastAsia="Arial" w:hAnsi="Arial"/>
          <w:i/>
          <w:iCs/>
          <w:color w:val="777777"/>
          <w:sz w:val="19"/>
          <w:szCs w:val="19"/>
        </w:rPr>
        <w:t xml:space="preserve">Score BMN v2.0 — Bach · Manos · Noël — Février 2026 — 33+ références — 4 modules — 11 comorbidités — 9 groupes ethniques</w:t>
      </w:r>
    </w:p>
    <w:sectPr>
      <w:headerReference w:type="default" r:id="rId6"/>
      <w:footerReference w:type="default" r:id="rId7"/>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spacing w:before="70" w:after="0"/>
    </w:pPr>
    <w:r>
      <w:rPr>
        <w:rFonts w:ascii="Arial" w:cs="Arial" w:eastAsia="Arial" w:hAnsi="Arial"/>
        <w:i/>
        <w:iCs/>
        <w:color w:val="777777"/>
        <w:sz w:val="17"/>
        <w:szCs w:val="17"/>
      </w:rPr>
      <w:t xml:space="preserve">Bach · Manos · Noël — v2.0 — Fév. 2026 — 4 modules : BMN-C (Clinique) · BMN-B (Biologique) · BMN-K (Comorbidités) · BMN-T (Thérapeutique)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before="0" w:after="70"/>
    </w:pPr>
    <w:r>
      <w:rPr>
        <w:rFonts w:ascii="Arial" w:cs="Arial" w:eastAsia="Arial" w:hAnsi="Arial"/>
        <w:color w:val="777777"/>
        <w:sz w:val="18"/>
        <w:szCs w:val="18"/>
      </w:rPr>
      <w:t xml:space="preserve">SCORE BMN v2.0 (Bach–Manos–Noël) — Architecture ABCKO — Documentation Algorithmique Complète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90"/>
      <w:outlineLvl w:val="2"/>
    </w:pPr>
    <w:rPr>
      <w:rFonts w:ascii="Arial" w:cs="Arial" w:eastAsia="Arial" w:hAnsi="Arial"/>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2026-02-28T09:45:05.182Z</dcterms:created>
  <dcterms:modified xsi:type="dcterms:W3CDTF">2026-02-28T09:45:05.183Z</dcterms:modified>
</cp:coreProperties>
</file>

<file path=docProps/custom.xml><?xml version="1.0" encoding="utf-8"?>
<Properties xmlns="http://schemas.openxmlformats.org/officeDocument/2006/custom-properties" xmlns:vt="http://schemas.openxmlformats.org/officeDocument/2006/docPropsVTypes"/>
</file>