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b/>
          <w:sz w:val="30"/>
          <w:szCs w:val="30"/>
        </w:rPr>
        <w:t xml:space="preserve">Nachwort</w:t>
      </w:r>
    </w:p>
    <w:p>
      <w:pPr>
        <w:spacing w:after="200" w:line="320"/>
      </w:pPr>
      <w:r>
        <w:rPr>
          <w:rFonts w:ascii="Georgia" w:cs="Georgia" w:eastAsia="Georgia" w:hAnsi="Georgia"/>
          <w:sz w:val="22"/>
          <w:szCs w:val="22"/>
        </w:rPr>
        <w:t xml:space="preserve">Die meisten sind keine Gedichte. Viele kürzer als ein Satz, manche nur Name. Die Formen - safaitisch - schreiben heißt, an einen Stein zu klopfen, an dem man gerade vorbeikommt — er bleibt, wenn man weitergeht.</w:t>
      </w:r>
    </w:p>
    <w:p>
      <w:pPr>
        <w:spacing w:after="200" w:line="320"/>
      </w:pPr>
      <w:r>
        <w:rPr>
          <w:rFonts w:ascii="Georgia" w:cs="Georgia" w:eastAsia="Georgia" w:hAnsi="Georgia"/>
          <w:sz w:val="22"/>
          <w:szCs w:val="22"/>
        </w:rPr>
        <w:t xml:space="preserve">Das Verständigen anderer Art, die antiken Beduinen nicht auf die Gleichzeitigkeit von Sender und Empfänger angewiesen. Es schließt Wüste, Hitze und Kälte, Steine als Zeugen ein und kennt Schweigen als eigene Aussage kennt. Im Gegensatz zu modernen Feeds operieren die Inschriften über minimale Zeichenzahl existenzieller Tiefe über lange Dauer.</w:t>
      </w:r>
    </w:p>
    <w:p>
      <w:pPr>
        <w:spacing w:after="200" w:line="320"/>
      </w:pPr>
      <w:r>
        <w:rPr>
          <w:rFonts w:ascii="Georgia" w:cs="Georgia" w:eastAsia="Georgia" w:hAnsi="Georgia"/>
          <w:sz w:val="22"/>
          <w:szCs w:val="22"/>
        </w:rPr>
        <w:t xml:space="preserve">Jedes der acht Register dieses Bandes eine andere Art, mit dem Stein zu sprechen — vom Stehen in der Ahnenreihe, dem bloßen Dasein über das Warten, Bitten und Klagen bis zum Fluch, bis Zeugnis und zuletzt Verstummen. Die Register eröffnen einige lange Inschriften, es folgen knappere Stimmen.</w:t>
      </w:r>
    </w:p>
    <w:p>
      <w:pPr>
        <w:spacing w:after="200" w:line="320"/>
      </w:pPr>
      <w:r>
        <w:rPr>
          <w:rFonts w:ascii="Georgia" w:cs="Georgia" w:eastAsia="Georgia" w:hAnsi="Georgia"/>
          <w:sz w:val="22"/>
          <w:szCs w:val="22"/>
        </w:rPr>
        <w:t xml:space="preserve">Texte stehen in der dritten Person, wie ihre Originale (l-Fulān, „Von X“, danach „und er …“). Genealogien sind getilgt — außer in „stehe“ (I), wo die Ahnenreihe selbst der Akt ist, und in „schweige“ (VIII), wo das Fehlen spricht. Lücken werden hier nicht geglättet; die Striche ---- bleiben stehen. Die unregelmäßige Oberfläche des Steins und Erosion oder Beschädigung des Steins bilden eine untrennbare Einheit.</w:t>
      </w:r>
    </w:p>
    <w:p>
      <w:pPr>
        <w:spacing w:after="200" w:line="320"/>
      </w:pPr>
      <w:r>
        <w:rPr>
          <w:rFonts w:ascii="Georgia" w:cs="Georgia" w:eastAsia="Georgia" w:hAnsi="Georgia"/>
          <w:sz w:val="22"/>
          <w:szCs w:val="22"/>
        </w:rPr>
        <w:t xml:space="preserve">Der Band schöpft aus dem Vollkorpus der ~31.800 safaitischen Inschriften (OCIANA), die zwischen dem ersten und vierten Jahrhundert n. Chr. in Süden Syriens und in Nordjordanien entstanden sind. Erschlossen sind damit auch rund 18.500 reinen Signaturen und die Minimal-Texte — sie tragen die Register „stehe“ (die Ahnenreihen) und „schreibe“ (die Litanei „X war hier“). Revier- und Präsenzmarkierung, indifferent gegenüber dem konkreten Empfänger. Sie steht im Raum, unabhängig davon, ob und wann sie gelesen wird.</w:t>
      </w:r>
    </w:p>
    <w:p>
      <w:pPr>
        <w:spacing w:after="200" w:line="320"/>
      </w:pPr>
      <w:r>
        <w:rPr>
          <w:rFonts w:ascii="Georgia" w:cs="Georgia" w:eastAsia="Georgia" w:hAnsi="Georgia"/>
          <w:sz w:val="22"/>
          <w:szCs w:val="22"/>
        </w:rPr>
        <w:t xml:space="preserve">Jedes Register speist aus seinem eigenen Korpus-Material: die Signaturen für „schreibe“ und „stehe“, die Anrufungen für „bitte“, die Fluchformeln für „verfluche“, die fragmentarischen Steine für „schweige“, die datierten für „bezeuge“. Die Auswahl ist kuratiert, nicht repräsentativ; jede Nachdichtung trägt die Sigle ihrer Quelle im Korpus.</w:t>
      </w:r>
    </w:p>
    <w:p>
      <w:pPr>
        <w:spacing w:after="200" w:line="320"/>
      </w:pPr>
      <w:r>
        <w:rPr>
          <w:rFonts w:ascii="Georgia" w:cs="Georgia" w:eastAsia="Georgia" w:hAnsi="Georgia"/>
          <w:sz w:val="22"/>
          <w:szCs w:val="22"/>
        </w:rPr>
        <w:t xml:space="preserve">Übersetzungskette: gemeißelter Stein → philologische Lesung → englische OCIANA-Edition → deutsche Nachdichtung. Eckige Klammern und Striche ---- der Philologen bleiben im Register „schweige“ sichtbar. Protokolle eines kaum sterblichen sprachlichen Systems.</w:t>
      </w:r>
    </w:p>
    <w:p>
      <w:pPr>
        <w:spacing w:before="200" w:after="80"/>
      </w:pPr>
      <w:r>
        <w:rPr>
          <w:rFonts w:ascii="Georgia" w:cs="Georgia" w:eastAsia="Georgia" w:hAnsi="Georgia"/>
          <w:b/>
          <w:sz w:val="24"/>
          <w:szCs w:val="24"/>
        </w:rPr>
        <w:t xml:space="preserve">Zu den Kapiteltiteln</w:t>
      </w:r>
    </w:p>
    <w:p>
      <w:pPr>
        <w:spacing w:after="200" w:line="320"/>
      </w:pPr>
      <w:r>
        <w:rPr>
          <w:rFonts w:ascii="Georgia" w:cs="Georgia" w:eastAsia="Georgia" w:hAnsi="Georgia"/>
          <w:sz w:val="22"/>
          <w:szCs w:val="22"/>
        </w:rPr>
        <w:t xml:space="preserve">Die acht Titel sind jeweils der Infinitiv des Verbs ohne das End-„n“ (schreiben → schreibe, stehen → stehe, …). Diese verkürzte Form ist absichtlich mehrdeutig: Sie ist zugleich erste Person Singular Präsens („ich schreibe“ — die aneignende Stimme), dritte Person Konjunktiv Präsens („er schreibe“ — der Wunsch, der die dritte Person und die Bitten und Flüche der Originale trifft), Imperativ („schreibe!“ — der Befehl an den späteren Leser oder die Gottheit) und mitunter Nomen (die Klage, die Bitte). Weil das Wort auf keine dieser Lesarten festgelegt ist, wird es — im Wortspiel mit „Infinitiv“ — infinit: unbegrenzt, in mehrere Richtungen zugleich offen. Das entspricht dem Gegenstand des Bandes: der aufgeschobenen Inschrift ohne festen Sender und Empfänger, die Aussage, Wunsch und Befehl in einem ist. Im Safaitischen (einer nordarabischen Konsonantenschrift) sind Vokale und damit exakte grammatische Modi oft hochgradig mehrdeutig oder aus dem Kontext zu erschließen. Die Reduktion auf die wurzelhafte Stammform im Deutschen bildet diese semantische Offenheit präzise ab.</w:t>
      </w:r>
    </w:p>
    <w:p>
      <w:pPr>
        <w:spacing w:before="200" w:after="80"/>
      </w:pPr>
      <w:r>
        <w:rPr>
          <w:rFonts w:ascii="Georgia" w:cs="Georgia" w:eastAsia="Georgia" w:hAnsi="Georgia"/>
          <w:b/>
          <w:sz w:val="24"/>
          <w:szCs w:val="24"/>
        </w:rPr>
        <w:t xml:space="preserve">Die Corpus-Siglen</w:t>
      </w:r>
    </w:p>
    <w:p>
      <w:pPr>
        <w:spacing w:after="200" w:line="320"/>
      </w:pPr>
      <w:r>
        <w:rPr>
          <w:rFonts w:ascii="Georgia" w:cs="Georgia" w:eastAsia="Georgia" w:hAnsi="Georgia"/>
          <w:sz w:val="22"/>
          <w:szCs w:val="22"/>
        </w:rPr>
        <w:t xml:space="preserve">Jede Nachdichtung trägt als Kopfzeile zuerst den Fundort, dann die Corpus-Sigle. Die Siglen bezeichnen die Sammlung oder Edition, in der die Inschrift zuerst erfasst wurde:</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Corpus Inscriptionum Semiticarum, Pars V — safaitische Inschriften (u. a. Dussaud &amp; Macler; Ryckmans 1950).</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LP</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E. Littmann, Safāʾitic Inscriptions (Leiden 1943).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&amp; G. L. Harding, Inscriptions from Fifty Safaitic Cairns (Toronto 1978).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 Desert Rescue Survey (G. M. H. King, 1989) — NO-jordanische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HCH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 L. Harding, The Cairn of Hāniʾ (1953).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SIJ</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Safaitic Inscriptions from Jordan (Toronto 1957).</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ISB</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 G. Oxtoby, Some Inscriptions of the Safaitic Bedouin (New Haven 1968).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V. A. Clark, A Study of New Safaitic Inscriptions from Jordan (1979).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Rees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 W. B. Rees, frühe Aufnahmen aus der Ḥarrat al-Raǧil (1920er).</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Is.L / Is.Mu</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Sammlungen aus al-ʿĪsāwī (Rif Dimašq); Nachweis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RQ.A / RQ.D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Aufnahmen aus Riǧm Qaʿqūl (Rif Dimašq);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RSIS / ASWS / SSWS / AbSWS / RWQ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Surveys der Wādī-Sārah-/Salma-Region (Al-Mafraq);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AbaNS / HaNSB / HaNS / HNSD / HSNS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nordjordanische Safaitic-Surveys;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JaS / KWQ / CEDS / GSSH / MKJS / BS / HYGQ / WAMS / RVP / BWM / ASFF / ZN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OCIANA-Survey-Siglen; vollständiger Editionsnachweis jeweils im OCIANA-Eintrag.</w:t>
            </w:r>
          </w:p>
        </w:tc>
      </w:tr>
    </w:tbl>
    <w:p/>
    <w:p>
      <w:pPr>
        <w:spacing w:before="200" w:after="80"/>
      </w:pPr>
      <w:r>
        <w:rPr>
          <w:rFonts w:ascii="Georgia" w:cs="Georgia" w:eastAsia="Georgia" w:hAnsi="Georgia"/>
          <w:b/>
          <w:sz w:val="24"/>
          <w:szCs w:val="24"/>
        </w:rPr>
        <w:t xml:space="preserve">Die Fundorte</w:t>
      </w:r>
    </w:p>
    <w:p>
      <w:pPr>
        <w:spacing w:after="200" w:line="320"/>
      </w:pPr>
      <w:r>
        <w:rPr>
          <w:rFonts w:ascii="Georgia" w:cs="Georgia" w:eastAsia="Georgia" w:hAnsi="Georgia"/>
          <w:sz w:val="22"/>
          <w:szCs w:val="22"/>
        </w:rPr>
        <w:t xml:space="preserve">Der Fundort ist normalisiert (spezifischster benannter Ort); zwei Zonen ordnen: die nordostjordanische Ḥarrah und die südsyrische Ṣafā.</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Hani</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Steinhügel (Cairn) des Ḥāniʾ, NO-jordanische Ḥarrah; 1953 von Harding ergraben (Sammlung HCH).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Km 612</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Kilometerstein 612 (≈ 32 km westl. Badana) an der Pipeline-Piste — Survey-Fundpunkt,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Salma</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Salma,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Sārah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Sārah,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Ḥarrat al-Raǧil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Basaltwüste al-Raǧil, NO-Jordanien / nördl. Saudi-Arabien.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Jathum</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Jathum,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Jawa / Wādī Miqāṭ / Qāʿ al-Maḥfūr / Zimlet Nāṣir / bei Safawi / bei Ruwayshid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Fundpunkte der NO-jordanischen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Zalaf</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Gegend um Zalaf am Wādī al-Shām,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al-ʿĪsāwī</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al-ʿĪsāwī, Rif Dimašq,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Riǧm Qaʿqūl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Riǧm Qaʿqūl,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Ǧabal Says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Ǧabal Says (Basaltmassiv),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Tall aḍ-Ḍabiʿ</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Tall aḍ-Ḍabiʿ / Wādī as-Samin,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Khirbat al-Hubayrīyah / al-Umbāšī / Al-Mrōshan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Fundpunkte in Al-Suwaydā,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Al-Mafraq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Provinz Al-Mafraq (NO-Jordanien)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Rif Dimašq / Al-Suwaydā</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südsyrische Provinzen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Jordanien / Syrien (allg.)</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nur das Land überliefert (Ḥarrah bzw.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Site / Tell / EDS / Cairn / WH Cairn + Nr.</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interne Survey-Codes — Fundpunkt ohne benannten Ort.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Fundort unbekannt</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keine Ortsangabe im OCIANA-Eintrag.</w:t>
            </w:r>
          </w:p>
        </w:tc>
      </w:tr>
    </w:tbl>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