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Georgia" w:cs="Georgia" w:eastAsia="Georgia" w:hAnsi="Georgia"/>
          <w:b/>
          <w:sz w:val="30"/>
          <w:szCs w:val="30"/>
        </w:rPr>
        <w:t xml:space="preserve">Nachwort</w:t>
      </w:r>
    </w:p>
    <w:p>
      <w:pPr>
        <w:spacing w:before="200" w:after="80"/>
      </w:pPr>
      <w:r>
        <w:rPr>
          <w:rFonts w:ascii="Georgia" w:cs="Georgia" w:eastAsia="Georgia" w:hAnsi="Georgia"/>
          <w:b/>
          <w:sz w:val="24"/>
          <w:szCs w:val="24"/>
        </w:rPr>
        <w:t xml:space="preserve">Das OCIANA-Korpus</w:t>
      </w:r>
    </w:p>
    <w:p>
      <w:pPr>
        <w:spacing w:after="200" w:line="320"/>
      </w:pPr>
      <w:r>
        <w:rPr>
          <w:rFonts w:ascii="Georgia" w:cs="Georgia" w:eastAsia="Georgia" w:hAnsi="Georgia"/>
          <w:sz w:val="22"/>
          <w:szCs w:val="22"/>
        </w:rPr>
        <w:t xml:space="preserve">Sämtliche Textgrundlagen, Siglen und Ortsbestimmungen dieses Bandes beziehen sich auf das Online Corpus of the Inscriptions of Ancient North Arabia (OCIANA), das an der Universität Oxford entwickelte digitale Referenzkorpus für die epigraphischen Zeugnisse des antiken Nordarabiens. OCIANA erfasst, ediert und systematisiert zehntausende Inschriften – darunter das gesamte bekannte safaitische Korpus – und stellt die wissenschaftliche Nomenklatur, Lesarten sowie Geodaten bereit. Das System dient in diesem Band als philologische Datenbasis und Ausgangspunkt für die poetische Verdichtung und Reduktion.</w:t>
      </w:r>
    </w:p>
    <w:p>
      <w:pPr>
        <w:spacing w:before="200" w:after="80"/>
      </w:pPr>
      <w:r>
        <w:rPr>
          <w:rFonts w:ascii="Georgia" w:cs="Georgia" w:eastAsia="Georgia" w:hAnsi="Georgia"/>
          <w:b/>
          <w:sz w:val="24"/>
          <w:szCs w:val="24"/>
        </w:rPr>
        <w:t xml:space="preserve">Die editorischen Siglen (Ergänzung)</w:t>
      </w:r>
    </w:p>
    <w:p>
      <w:pPr>
        <w:spacing w:after="200" w:line="320"/>
      </w:pPr>
      <w:r>
        <w:rPr>
          <w:rFonts w:ascii="Georgia" w:cs="Georgia" w:eastAsia="Georgia" w:hAnsi="Georgia"/>
          <w:sz w:val="22"/>
          <w:szCs w:val="22"/>
        </w:rPr>
        <w:t xml:space="preserve">Die im Band verwendeten dreistelligen Buchstabencodes (z. B. KRS, HCH, WH) verweisen auf die wissenschaftlichen Standard-Editionen und historischen Entdecker-Korpora, in denen die Inschriften erstmals dokumentiert wurden. Sie dienen im Online Corpus of the Inscriptions of Ancient North Arabia (OCIANA) als eindeutige Identifikatoren:</w:t>
      </w:r>
    </w:p>
    <w:p>
      <w:pPr>
        <w:spacing w:after="120" w:line="300"/>
      </w:pPr>
      <w:r>
        <w:rPr>
          <w:rFonts w:ascii="Georgia" w:cs="Georgia" w:eastAsia="Georgia" w:hAnsi="Georgia"/>
          <w:b/>
          <w:sz w:val="22"/>
          <w:szCs w:val="22"/>
        </w:rPr>
        <w:t xml:space="preserve">HCH</w:t>
      </w:r>
      <w:r>
        <w:rPr>
          <w:rFonts w:ascii="Georgia" w:cs="Georgia" w:eastAsia="Georgia" w:hAnsi="Georgia"/>
          <w:sz w:val="22"/>
          <w:szCs w:val="22"/>
        </w:rPr>
        <w:t xml:space="preserve">: Inscriptions in the Harra Collection – Das von G. L. Harding 1953 in der jordanischen Basaltwüste dokumentierte Korpus.</w:t>
      </w:r>
    </w:p>
    <w:p>
      <w:pPr>
        <w:spacing w:after="120" w:line="300"/>
      </w:pPr>
      <w:r>
        <w:rPr>
          <w:rFonts w:ascii="Georgia" w:cs="Georgia" w:eastAsia="Georgia" w:hAnsi="Georgia"/>
          <w:b/>
          <w:sz w:val="22"/>
          <w:szCs w:val="22"/>
        </w:rPr>
        <w:t xml:space="preserve">KRS</w:t>
      </w:r>
      <w:r>
        <w:rPr>
          <w:rFonts w:ascii="Georgia" w:cs="Georgia" w:eastAsia="Georgia" w:hAnsi="Georgia"/>
          <w:sz w:val="22"/>
          <w:szCs w:val="22"/>
        </w:rPr>
        <w:t xml:space="preserve">: King Ramadan Survey – Funde aus den systematischen archäologischen Surveys in Nordostjordanien.</w:t>
      </w:r>
    </w:p>
    <w:p>
      <w:pPr>
        <w:spacing w:after="120" w:line="300"/>
      </w:pPr>
      <w:r>
        <w:rPr>
          <w:rFonts w:ascii="Georgia" w:cs="Georgia" w:eastAsia="Georgia" w:hAnsi="Georgia"/>
          <w:b/>
          <w:sz w:val="22"/>
          <w:szCs w:val="22"/>
        </w:rPr>
        <w:t xml:space="preserve">LP</w:t>
      </w:r>
      <w:r>
        <w:rPr>
          <w:rFonts w:ascii="Georgia" w:cs="Georgia" w:eastAsia="Georgia" w:hAnsi="Georgia"/>
          <w:sz w:val="22"/>
          <w:szCs w:val="22"/>
        </w:rPr>
        <w:t xml:space="preserve">: Littmann, Safaitic Inscriptions – Die frühen, grundlegenden Editionen der Enno-Littmann-Expeditionen vom Beginn des 20. Jahrhunderts.</w:t>
      </w:r>
    </w:p>
    <w:p>
      <w:pPr>
        <w:spacing w:after="120" w:line="300"/>
      </w:pPr>
      <w:r>
        <w:rPr>
          <w:rFonts w:ascii="Georgia" w:cs="Georgia" w:eastAsia="Georgia" w:hAnsi="Georgia"/>
          <w:b/>
          <w:sz w:val="22"/>
          <w:szCs w:val="22"/>
        </w:rPr>
        <w:t xml:space="preserve">WH</w:t>
      </w:r>
      <w:r>
        <w:rPr>
          <w:rFonts w:ascii="Georgia" w:cs="Georgia" w:eastAsia="Georgia" w:hAnsi="Georgia"/>
          <w:sz w:val="22"/>
          <w:szCs w:val="22"/>
        </w:rPr>
        <w:t xml:space="preserve">: Winnett &amp; Harding, Inscriptions from Fifty Safaitic Cairns – Die umfassende Dokumentation von fünfzig Steinhügeln, die als strukturelles Rückgrat der modernen safaitischen Epigraphik gilt.</w:t>
      </w:r>
    </w:p>
    <w:p>
      <w:pPr>
        <w:spacing w:after="120" w:line="300"/>
      </w:pPr>
      <w:r>
        <w:rPr>
          <w:rFonts w:ascii="Georgia" w:cs="Georgia" w:eastAsia="Georgia" w:hAnsi="Georgia"/>
          <w:b/>
          <w:sz w:val="22"/>
          <w:szCs w:val="22"/>
        </w:rPr>
        <w:t xml:space="preserve">C</w:t>
      </w:r>
      <w:r>
        <w:rPr>
          <w:rFonts w:ascii="Georgia" w:cs="Georgia" w:eastAsia="Georgia" w:hAnsi="Georgia"/>
          <w:sz w:val="22"/>
          <w:szCs w:val="22"/>
        </w:rPr>
        <w:t xml:space="preserve">: Corpus Inscriptionum Semiticarum, Pars V – die safaitischen Inschriften (u. a. Dussaud &amp; Macler; Ryckmans 1950).</w:t>
      </w:r>
    </w:p>
    <w:p>
      <w:pPr>
        <w:spacing w:after="120" w:line="300"/>
      </w:pPr>
      <w:r>
        <w:rPr>
          <w:rFonts w:ascii="Georgia" w:cs="Georgia" w:eastAsia="Georgia" w:hAnsi="Georgia"/>
          <w:b/>
          <w:sz w:val="22"/>
          <w:szCs w:val="22"/>
        </w:rPr>
        <w:t xml:space="preserve">SIJ</w:t>
      </w:r>
      <w:r>
        <w:rPr>
          <w:rFonts w:ascii="Georgia" w:cs="Georgia" w:eastAsia="Georgia" w:hAnsi="Georgia"/>
          <w:sz w:val="22"/>
          <w:szCs w:val="22"/>
        </w:rPr>
        <w:t xml:space="preserve">: Winnett, Safaitic Inscriptions from Jordan (Toronto 1957).</w:t>
      </w:r>
    </w:p>
    <w:p>
      <w:pPr>
        <w:spacing w:after="120" w:line="300"/>
      </w:pPr>
      <w:r>
        <w:rPr>
          <w:rFonts w:ascii="Georgia" w:cs="Georgia" w:eastAsia="Georgia" w:hAnsi="Georgia"/>
          <w:b/>
          <w:sz w:val="22"/>
          <w:szCs w:val="22"/>
        </w:rPr>
        <w:t xml:space="preserve">ISB</w:t>
      </w:r>
      <w:r>
        <w:rPr>
          <w:rFonts w:ascii="Georgia" w:cs="Georgia" w:eastAsia="Georgia" w:hAnsi="Georgia"/>
          <w:sz w:val="22"/>
          <w:szCs w:val="22"/>
        </w:rPr>
        <w:t xml:space="preserve">: Oxtoby, Some Inscriptions of the Safaitic Bedouin (New Haven 1968).</w:t>
      </w:r>
    </w:p>
    <w:p>
      <w:pPr>
        <w:spacing w:after="120" w:line="300"/>
      </w:pPr>
      <w:r>
        <w:rPr>
          <w:rFonts w:ascii="Georgia" w:cs="Georgia" w:eastAsia="Georgia" w:hAnsi="Georgia"/>
          <w:b/>
          <w:sz w:val="22"/>
          <w:szCs w:val="22"/>
        </w:rPr>
        <w:t xml:space="preserve">CSNS</w:t>
      </w:r>
      <w:r>
        <w:rPr>
          <w:rFonts w:ascii="Georgia" w:cs="Georgia" w:eastAsia="Georgia" w:hAnsi="Georgia"/>
          <w:sz w:val="22"/>
          <w:szCs w:val="22"/>
        </w:rPr>
        <w:t xml:space="preserve">: Clark, A Study of New Safaitic Inscriptions from Jordan (1979).</w:t>
      </w:r>
    </w:p>
    <w:p>
      <w:pPr>
        <w:spacing w:after="120" w:line="300"/>
      </w:pPr>
      <w:r>
        <w:rPr>
          <w:rFonts w:ascii="Georgia" w:cs="Georgia" w:eastAsia="Georgia" w:hAnsi="Georgia"/>
          <w:b/>
          <w:sz w:val="22"/>
          <w:szCs w:val="22"/>
        </w:rPr>
        <w:t xml:space="preserve">Rees</w:t>
      </w:r>
      <w:r>
        <w:rPr>
          <w:rFonts w:ascii="Georgia" w:cs="Georgia" w:eastAsia="Georgia" w:hAnsi="Georgia"/>
          <w:sz w:val="22"/>
          <w:szCs w:val="22"/>
        </w:rPr>
        <w:t xml:space="preserve">: L. W. B. Rees, frühe Aufnahmen aus der Ḥarrat al-Raǧil (1920er Jahre).</w:t>
      </w:r>
    </w:p>
    <w:p>
      <w:pPr>
        <w:spacing w:after="120" w:line="300"/>
      </w:pPr>
      <w:r>
        <w:rPr>
          <w:rFonts w:ascii="Georgia" w:cs="Georgia" w:eastAsia="Georgia" w:hAnsi="Georgia"/>
          <w:b/>
          <w:sz w:val="22"/>
          <w:szCs w:val="22"/>
        </w:rPr>
        <w:t xml:space="preserve">Is.L / Is.Mu</w:t>
      </w:r>
      <w:r>
        <w:rPr>
          <w:rFonts w:ascii="Georgia" w:cs="Georgia" w:eastAsia="Georgia" w:hAnsi="Georgia"/>
          <w:sz w:val="22"/>
          <w:szCs w:val="22"/>
        </w:rPr>
        <w:t xml:space="preserve">: Sammlungen aus al-ʿĪsāwī (Rif Dimašq); Editionsnachweis jeweils im OCIANA-Eintrag.</w:t>
      </w:r>
    </w:p>
    <w:p>
      <w:pPr>
        <w:spacing w:after="120" w:line="300"/>
      </w:pPr>
      <w:r>
        <w:rPr>
          <w:rFonts w:ascii="Georgia" w:cs="Georgia" w:eastAsia="Georgia" w:hAnsi="Georgia"/>
          <w:b/>
          <w:sz w:val="22"/>
          <w:szCs w:val="22"/>
        </w:rPr>
        <w:t xml:space="preserve">RQ.A / RQ.D</w:t>
      </w:r>
      <w:r>
        <w:rPr>
          <w:rFonts w:ascii="Georgia" w:cs="Georgia" w:eastAsia="Georgia" w:hAnsi="Georgia"/>
          <w:sz w:val="22"/>
          <w:szCs w:val="22"/>
        </w:rPr>
        <w:t xml:space="preserve">: Aufnahmen aus Riǧm Qaʿqūl (Rif Dimašq).</w:t>
      </w:r>
    </w:p>
    <w:p>
      <w:pPr>
        <w:spacing w:after="120" w:line="300"/>
      </w:pPr>
      <w:r>
        <w:rPr>
          <w:rFonts w:ascii="Georgia" w:cs="Georgia" w:eastAsia="Georgia" w:hAnsi="Georgia"/>
          <w:b/>
          <w:sz w:val="22"/>
          <w:szCs w:val="22"/>
        </w:rPr>
        <w:t xml:space="preserve">RSIS / ASWS / SSWS / AbSWS / RWQ</w:t>
      </w:r>
      <w:r>
        <w:rPr>
          <w:rFonts w:ascii="Georgia" w:cs="Georgia" w:eastAsia="Georgia" w:hAnsi="Georgia"/>
          <w:sz w:val="22"/>
          <w:szCs w:val="22"/>
        </w:rPr>
        <w:t xml:space="preserve">: Surveys der Wādī-Sārah- und Wādī-Salma-Region (Provinz Al-Mafraq).</w:t>
      </w:r>
    </w:p>
    <w:p>
      <w:pPr>
        <w:spacing w:after="120" w:line="300"/>
      </w:pPr>
      <w:r>
        <w:rPr>
          <w:rFonts w:ascii="Georgia" w:cs="Georgia" w:eastAsia="Georgia" w:hAnsi="Georgia"/>
          <w:b/>
          <w:sz w:val="22"/>
          <w:szCs w:val="22"/>
        </w:rPr>
        <w:t xml:space="preserve">AbaNS / HaNS / HaNSB / HNSD / HSNS</w:t>
      </w:r>
      <w:r>
        <w:rPr>
          <w:rFonts w:ascii="Georgia" w:cs="Georgia" w:eastAsia="Georgia" w:hAnsi="Georgia"/>
          <w:sz w:val="22"/>
          <w:szCs w:val="22"/>
        </w:rPr>
        <w:t xml:space="preserve">: nordjordanische Safaitic-Surveys.</w:t>
      </w:r>
    </w:p>
    <w:p>
      <w:pPr>
        <w:spacing w:after="120" w:line="300"/>
      </w:pPr>
      <w:r>
        <w:rPr>
          <w:rFonts w:ascii="Georgia" w:cs="Georgia" w:eastAsia="Georgia" w:hAnsi="Georgia"/>
          <w:b/>
          <w:sz w:val="22"/>
          <w:szCs w:val="22"/>
        </w:rPr>
        <w:t xml:space="preserve">AAEK / ASFF</w:t>
      </w:r>
      <w:r>
        <w:rPr>
          <w:rFonts w:ascii="Georgia" w:cs="Georgia" w:eastAsia="Georgia" w:hAnsi="Georgia"/>
          <w:sz w:val="22"/>
          <w:szCs w:val="22"/>
        </w:rPr>
        <w:t xml:space="preserve">: Surveys von Qāʿ Fahadah (Provinz Al-Mafraq).</w:t>
      </w:r>
    </w:p>
    <w:p>
      <w:pPr>
        <w:spacing w:after="120" w:line="300"/>
      </w:pPr>
      <w:r>
        <w:rPr>
          <w:rFonts w:ascii="Georgia" w:cs="Georgia" w:eastAsia="Georgia" w:hAnsi="Georgia"/>
          <w:b/>
          <w:sz w:val="22"/>
          <w:szCs w:val="22"/>
        </w:rPr>
        <w:t xml:space="preserve">JaS / KWQ / CEDS / GSSH / MKJS / BS / WAMS / BWM / ZN</w:t>
      </w:r>
      <w:r>
        <w:rPr>
          <w:rFonts w:ascii="Georgia" w:cs="Georgia" w:eastAsia="Georgia" w:hAnsi="Georgia"/>
          <w:sz w:val="22"/>
          <w:szCs w:val="22"/>
        </w:rPr>
        <w:t xml:space="preserve">: weitere OCIANA-Survey-Siglen aus der nordostjordanischen Ḥarrah; vollständiger Editionsnachweis jeweils im OCIANA-Eintrag.</w:t>
      </w:r>
    </w:p>
    <w:p/>
    <w:p>
      <w:pPr>
        <w:spacing w:before="200" w:after="80"/>
      </w:pPr>
      <w:r>
        <w:rPr>
          <w:rFonts w:ascii="Georgia" w:cs="Georgia" w:eastAsia="Georgia" w:hAnsi="Georgia"/>
          <w:b/>
          <w:sz w:val="24"/>
          <w:szCs w:val="24"/>
        </w:rPr>
        <w:t xml:space="preserve">Die Fundorte</w:t>
      </w:r>
    </w:p>
    <w:p>
      <w:pPr>
        <w:spacing w:after="200" w:line="320"/>
      </w:pPr>
      <w:r>
        <w:rPr>
          <w:rFonts w:ascii="Georgia" w:cs="Georgia" w:eastAsia="Georgia" w:hAnsi="Georgia"/>
          <w:sz w:val="22"/>
          <w:szCs w:val="22"/>
        </w:rPr>
        <w:t xml:space="preserve">Die Toponyme wurden auf den spezifischsten benannten Ort normalisiert und ordnen sich zwei geografischen Zonen zu: der nordostjordanischen Ḥarrah und der südsyrischen Ṣafā.</w:t>
      </w:r>
    </w:p>
    <w:p>
      <w:pPr>
        <w:spacing w:after="120" w:line="300"/>
      </w:pPr>
      <w:r>
        <w:rPr>
          <w:rFonts w:ascii="Georgia" w:cs="Georgia" w:eastAsia="Georgia" w:hAnsi="Georgia"/>
          <w:b/>
          <w:sz w:val="22"/>
          <w:szCs w:val="22"/>
        </w:rPr>
        <w:t xml:space="preserve">Hani</w:t>
      </w:r>
      <w:r>
        <w:rPr>
          <w:rFonts w:ascii="Georgia" w:cs="Georgia" w:eastAsia="Georgia" w:hAnsi="Georgia"/>
          <w:sz w:val="22"/>
          <w:szCs w:val="22"/>
        </w:rPr>
        <w:t xml:space="preserve">: Steinhügel (Cairn) des Ḥāniʾ, nordostjordanische Ḥarrah; 1953 von G. L. Harding ausgegraben (Sammlung HCH).</w:t>
      </w:r>
    </w:p>
    <w:p>
      <w:pPr>
        <w:spacing w:after="120" w:line="300"/>
      </w:pPr>
      <w:r>
        <w:rPr>
          <w:rFonts w:ascii="Georgia" w:cs="Georgia" w:eastAsia="Georgia" w:hAnsi="Georgia"/>
          <w:b/>
          <w:sz w:val="22"/>
          <w:szCs w:val="22"/>
        </w:rPr>
        <w:t xml:space="preserve">Km 612</w:t>
      </w:r>
      <w:r>
        <w:rPr>
          <w:rFonts w:ascii="Georgia" w:cs="Georgia" w:eastAsia="Georgia" w:hAnsi="Georgia"/>
          <w:sz w:val="22"/>
          <w:szCs w:val="22"/>
        </w:rPr>
        <w:t xml:space="preserve">: Kilometerstein 612 (ca. 32 km westlich von Badana) an der alten Pipeline-Piste. Ein Survey-Fundpunkt in Nordostjordanien.</w:t>
      </w:r>
    </w:p>
    <w:p>
      <w:pPr>
        <w:spacing w:after="120" w:line="300"/>
      </w:pPr>
      <w:r>
        <w:rPr>
          <w:rFonts w:ascii="Georgia" w:cs="Georgia" w:eastAsia="Georgia" w:hAnsi="Georgia"/>
          <w:b/>
          <w:sz w:val="22"/>
          <w:szCs w:val="22"/>
        </w:rPr>
        <w:t xml:space="preserve">Wādī Salma / Wādī Sārah</w:t>
      </w:r>
      <w:r>
        <w:rPr>
          <w:rFonts w:ascii="Georgia" w:cs="Georgia" w:eastAsia="Georgia" w:hAnsi="Georgia"/>
          <w:sz w:val="22"/>
          <w:szCs w:val="22"/>
        </w:rPr>
        <w:t xml:space="preserve">: Trockentäler in der Provinz Al-Mafraq, Nordostjordanien.</w:t>
      </w:r>
    </w:p>
    <w:p>
      <w:pPr>
        <w:spacing w:after="120" w:line="300"/>
      </w:pPr>
      <w:r>
        <w:rPr>
          <w:rFonts w:ascii="Georgia" w:cs="Georgia" w:eastAsia="Georgia" w:hAnsi="Georgia"/>
          <w:b/>
          <w:sz w:val="22"/>
          <w:szCs w:val="22"/>
        </w:rPr>
        <w:t xml:space="preserve">Ḥarrat al-Raǧil</w:t>
      </w:r>
      <w:r>
        <w:rPr>
          <w:rFonts w:ascii="Georgia" w:cs="Georgia" w:eastAsia="Georgia" w:hAnsi="Georgia"/>
          <w:sz w:val="22"/>
          <w:szCs w:val="22"/>
        </w:rPr>
        <w:t xml:space="preserve">: Basaltwüste im Grenzgebiet von Nordostjordanien und dem nördlichen Saudi-Arabien.</w:t>
      </w:r>
    </w:p>
    <w:p>
      <w:pPr>
        <w:spacing w:after="120" w:line="300"/>
      </w:pPr>
      <w:r>
        <w:rPr>
          <w:rFonts w:ascii="Georgia" w:cs="Georgia" w:eastAsia="Georgia" w:hAnsi="Georgia"/>
          <w:b/>
          <w:sz w:val="22"/>
          <w:szCs w:val="22"/>
        </w:rPr>
        <w:t xml:space="preserve">Qāʿ Fahadah</w:t>
      </w:r>
      <w:r>
        <w:rPr>
          <w:rFonts w:ascii="Georgia" w:cs="Georgia" w:eastAsia="Georgia" w:hAnsi="Georgia"/>
          <w:sz w:val="22"/>
          <w:szCs w:val="22"/>
        </w:rPr>
        <w:t xml:space="preserve">: Fundplatz in der Provinz Al-Mafraq, Nordostjordanien (Ahnenreihen in Kapitel I).</w:t>
      </w:r>
    </w:p>
    <w:p>
      <w:pPr>
        <w:spacing w:after="120" w:line="300"/>
      </w:pPr>
      <w:r>
        <w:rPr>
          <w:rFonts w:ascii="Georgia" w:cs="Georgia" w:eastAsia="Georgia" w:hAnsi="Georgia"/>
          <w:b/>
          <w:sz w:val="22"/>
          <w:szCs w:val="22"/>
        </w:rPr>
        <w:t xml:space="preserve">Jathum / Jawa / Wādī Miqāṭ / Qāʿ al-Maḥfūr / Zimlet Nāṣir / bei Safawi / bei Ruwayshid</w:t>
      </w:r>
      <w:r>
        <w:rPr>
          <w:rFonts w:ascii="Georgia" w:cs="Georgia" w:eastAsia="Georgia" w:hAnsi="Georgia"/>
          <w:sz w:val="22"/>
          <w:szCs w:val="22"/>
        </w:rPr>
        <w:t xml:space="preserve">: weitere Fundpunkte und Surveys innerhalb der nordostjordanischen Basaltwüste.</w:t>
      </w:r>
    </w:p>
    <w:p>
      <w:pPr>
        <w:spacing w:after="120" w:line="300"/>
      </w:pPr>
      <w:r>
        <w:rPr>
          <w:rFonts w:ascii="Georgia" w:cs="Georgia" w:eastAsia="Georgia" w:hAnsi="Georgia"/>
          <w:b/>
          <w:sz w:val="22"/>
          <w:szCs w:val="22"/>
        </w:rPr>
        <w:t xml:space="preserve">Zalaf</w:t>
      </w:r>
      <w:r>
        <w:rPr>
          <w:rFonts w:ascii="Georgia" w:cs="Georgia" w:eastAsia="Georgia" w:hAnsi="Georgia"/>
          <w:sz w:val="22"/>
          <w:szCs w:val="22"/>
        </w:rPr>
        <w:t xml:space="preserve">: Region um Zalaf am Wādī al-Shām, südsyrische Ṣafā.</w:t>
      </w:r>
    </w:p>
    <w:p>
      <w:pPr>
        <w:spacing w:after="120" w:line="300"/>
      </w:pPr>
      <w:r>
        <w:rPr>
          <w:rFonts w:ascii="Georgia" w:cs="Georgia" w:eastAsia="Georgia" w:hAnsi="Georgia"/>
          <w:b/>
          <w:sz w:val="22"/>
          <w:szCs w:val="22"/>
        </w:rPr>
        <w:t xml:space="preserve">al-ʿĪsāwī / Riǧm Qaʿqūl</w:t>
      </w:r>
      <w:r>
        <w:rPr>
          <w:rFonts w:ascii="Georgia" w:cs="Georgia" w:eastAsia="Georgia" w:hAnsi="Georgia"/>
          <w:sz w:val="22"/>
          <w:szCs w:val="22"/>
        </w:rPr>
        <w:t xml:space="preserve">: Fundplätze im Gouvernement Rif Dimašq, innerhalb der südsyrischen Basaltlandschaft.</w:t>
      </w:r>
    </w:p>
    <w:p>
      <w:pPr>
        <w:spacing w:after="120" w:line="300"/>
      </w:pPr>
      <w:r>
        <w:rPr>
          <w:rFonts w:ascii="Georgia" w:cs="Georgia" w:eastAsia="Georgia" w:hAnsi="Georgia"/>
          <w:b/>
          <w:sz w:val="22"/>
          <w:szCs w:val="22"/>
        </w:rPr>
        <w:t xml:space="preserve">Ǧabal Says</w:t>
      </w:r>
      <w:r>
        <w:rPr>
          <w:rFonts w:ascii="Georgia" w:cs="Georgia" w:eastAsia="Georgia" w:hAnsi="Georgia"/>
          <w:sz w:val="22"/>
          <w:szCs w:val="22"/>
        </w:rPr>
        <w:t xml:space="preserve">: Basaltmassiv im Gouvernement Rif Dimašq, südsyrische Ṣafā.</w:t>
      </w:r>
    </w:p>
    <w:p>
      <w:pPr>
        <w:spacing w:after="120" w:line="300"/>
      </w:pPr>
      <w:r>
        <w:rPr>
          <w:rFonts w:ascii="Georgia" w:cs="Georgia" w:eastAsia="Georgia" w:hAnsi="Georgia"/>
          <w:b/>
          <w:sz w:val="22"/>
          <w:szCs w:val="22"/>
        </w:rPr>
        <w:t xml:space="preserve">Tall aḍ-Ḍabiʿ</w:t>
      </w:r>
      <w:r>
        <w:rPr>
          <w:rFonts w:ascii="Georgia" w:cs="Georgia" w:eastAsia="Georgia" w:hAnsi="Georgia"/>
          <w:sz w:val="22"/>
          <w:szCs w:val="22"/>
        </w:rPr>
        <w:t xml:space="preserve">: Tall aḍ-Ḍabiʿ am Wādī as-Samin, Süd-Syrien.</w:t>
      </w:r>
    </w:p>
    <w:p>
      <w:pPr>
        <w:spacing w:after="120" w:line="300"/>
      </w:pPr>
      <w:r>
        <w:rPr>
          <w:rFonts w:ascii="Georgia" w:cs="Georgia" w:eastAsia="Georgia" w:hAnsi="Georgia"/>
          <w:b/>
          <w:sz w:val="22"/>
          <w:szCs w:val="22"/>
        </w:rPr>
        <w:t xml:space="preserve">Al-Mrōshan / Khirbat al-Hubayrīyah / Khirbat al-Umbāšī</w:t>
      </w:r>
      <w:r>
        <w:rPr>
          <w:rFonts w:ascii="Georgia" w:cs="Georgia" w:eastAsia="Georgia" w:hAnsi="Georgia"/>
          <w:sz w:val="22"/>
          <w:szCs w:val="22"/>
        </w:rPr>
        <w:t xml:space="preserve">: Fundpunkte im Gouvernement Al-Suwaydā, Süd-Syrien.</w:t>
      </w:r>
    </w:p>
    <w:p>
      <w:pPr>
        <w:spacing w:after="120" w:line="300"/>
      </w:pPr>
      <w:r>
        <w:rPr>
          <w:rFonts w:ascii="Georgia" w:cs="Georgia" w:eastAsia="Georgia" w:hAnsi="Georgia"/>
          <w:b/>
          <w:sz w:val="22"/>
          <w:szCs w:val="22"/>
        </w:rPr>
        <w:t xml:space="preserve">Al-Mafraq</w:t>
      </w:r>
      <w:r>
        <w:rPr>
          <w:rFonts w:ascii="Georgia" w:cs="Georgia" w:eastAsia="Georgia" w:hAnsi="Georgia"/>
          <w:sz w:val="22"/>
          <w:szCs w:val="22"/>
        </w:rPr>
        <w:t xml:space="preserve">: Provinz Al-Mafraq (Nordostjordanien) – genauer Fundpunkt nicht angegeben.</w:t>
      </w:r>
    </w:p>
    <w:p>
      <w:pPr>
        <w:spacing w:after="120" w:line="300"/>
      </w:pPr>
      <w:r>
        <w:rPr>
          <w:rFonts w:ascii="Georgia" w:cs="Georgia" w:eastAsia="Georgia" w:hAnsi="Georgia"/>
          <w:b/>
          <w:sz w:val="22"/>
          <w:szCs w:val="22"/>
        </w:rPr>
        <w:t xml:space="preserve">Rif Dimašq / Al-Suwaydā</w:t>
      </w:r>
      <w:r>
        <w:rPr>
          <w:rFonts w:ascii="Georgia" w:cs="Georgia" w:eastAsia="Georgia" w:hAnsi="Georgia"/>
          <w:sz w:val="22"/>
          <w:szCs w:val="22"/>
        </w:rPr>
        <w:t xml:space="preserve">: südsyrische Gouvernements (Ṣafā) – genauer Fundpunkt nicht angegeben.</w:t>
      </w:r>
    </w:p>
    <w:p>
      <w:pPr>
        <w:spacing w:after="120" w:line="300"/>
      </w:pPr>
      <w:r>
        <w:rPr>
          <w:rFonts w:ascii="Georgia" w:cs="Georgia" w:eastAsia="Georgia" w:hAnsi="Georgia"/>
          <w:b/>
          <w:sz w:val="22"/>
          <w:szCs w:val="22"/>
        </w:rPr>
        <w:t xml:space="preserve">Jordanien (allg.) / Syrien (allg.)</w:t>
      </w:r>
      <w:r>
        <w:rPr>
          <w:rFonts w:ascii="Georgia" w:cs="Georgia" w:eastAsia="Georgia" w:hAnsi="Georgia"/>
          <w:sz w:val="22"/>
          <w:szCs w:val="22"/>
        </w:rPr>
        <w:t xml:space="preserve">: nur das Land überliefert (Ḥarrah bzw. Ṣafā).</w:t>
      </w:r>
    </w:p>
    <w:p>
      <w:pPr>
        <w:spacing w:after="120" w:line="300"/>
      </w:pPr>
      <w:r>
        <w:rPr>
          <w:rFonts w:ascii="Georgia" w:cs="Georgia" w:eastAsia="Georgia" w:hAnsi="Georgia"/>
          <w:b/>
          <w:sz w:val="22"/>
          <w:szCs w:val="22"/>
        </w:rPr>
        <w:t xml:space="preserve">Site 4 / Site 12 / Site 13 · Tell 5 · Tell al-ʿAbd · Cairn 9 / Cairn 10 · WH Cairn 7 · EDS 80-5 · Km 910</w:t>
      </w:r>
      <w:r>
        <w:rPr>
          <w:rFonts w:ascii="Georgia" w:cs="Georgia" w:eastAsia="Georgia" w:hAnsi="Georgia"/>
          <w:sz w:val="22"/>
          <w:szCs w:val="22"/>
        </w:rPr>
        <w:t xml:space="preserve">: interne Survey-Codes und Fundpunkte ohne näher benannten Ort (Nordostjordanien).</w:t>
      </w:r>
    </w:p>
    <w:p>
      <w:pPr>
        <w:spacing w:after="120" w:line="300"/>
      </w:pPr>
      <w:r>
        <w:rPr>
          <w:rFonts w:ascii="Georgia" w:cs="Georgia" w:eastAsia="Georgia" w:hAnsi="Georgia"/>
          <w:b/>
          <w:sz w:val="22"/>
          <w:szCs w:val="22"/>
        </w:rPr>
        <w:t xml:space="preserve">Fundort unbekannt</w:t>
      </w:r>
      <w:r>
        <w:rPr>
          <w:rFonts w:ascii="Georgia" w:cs="Georgia" w:eastAsia="Georgia" w:hAnsi="Georgia"/>
          <w:sz w:val="22"/>
          <w:szCs w:val="22"/>
        </w:rPr>
        <w:t xml:space="preserve">: keine Ortsangabe im OCIANA-Eintrag.</w:t>
      </w:r>
    </w:p>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