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Antike safaitische Inschriften</w:t>
      </w:r>
    </w:p>
    <w:p>
      <w:pPr>
        <w:jc w:val="center"/>
      </w:pPr>
      <w:r>
        <w:rPr>
          <w:rFonts w:ascii="Georgia" w:cs="Georgia" w:eastAsia="Georgia" w:hAnsi="Georgia"/>
          <w:color w:val="7A5C3E"/>
          <w:sz w:val="22"/>
          <w:szCs w:val="22"/>
        </w:rPr>
        <w:t xml:space="preserve">nomadischer Beduinen Nordarabiens · 1. Jh. v. Chr. – 4. Jh. n. Chr.</w:t>
      </w:r>
    </w:p>
    <w:p>
      <w:pPr>
        <w:jc w:val="center"/>
      </w:pPr>
      <w:r>
        <w:rPr>
          <w:rFonts w:ascii="Georgia" w:cs="Georgia" w:eastAsia="Georgia" w:hAnsi="Georgia"/>
          <w:sz w:val="20"/>
          <w:szCs w:val="20"/>
        </w:rPr>
        <w:t xml:space="preserve">»Wer dies liest, lebe lang« — in deutscher Nachdichtung</w:t>
      </w:r>
    </w:p>
    <w:p>
      <w:pPr>
        <w:jc w:val="center"/>
      </w:pPr>
      <w:r>
        <w:rPr>
          <w:rFonts w:ascii="Georgia" w:cs="Georgia" w:eastAsia="Georgia" w:hAnsi="Georgia"/>
          <w:sz w:val="20"/>
          <w:szCs w:val="20"/>
        </w:rPr>
        <w:t xml:space="preserve">Acht Register · nach Sprechakten geordnet</w:t>
      </w:r>
    </w:p>
    <w:p>
      <w:r>
        <w:br w:type="page"/>
      </w:r>
    </w:p>
    <w:p>
      <w:r>
        <w:rPr>
          <w:rFonts w:ascii="Georgia" w:cs="Georgia" w:eastAsia="Georgia" w:hAnsi="Georgia"/>
          <w:b/>
          <w:sz w:val="30"/>
          <w:szCs w:val="30"/>
        </w:rPr>
        <w:t xml:space="preserve">Vorwort</w:t>
      </w:r>
    </w:p>
    <w:p>
      <w:pPr>
        <w:spacing w:after="200" w:line="320"/>
      </w:pPr>
      <w:r>
        <w:rPr>
          <w:rFonts w:ascii="Georgia" w:cs="Georgia" w:eastAsia="Georgia" w:hAnsi="Georgia"/>
          <w:sz w:val="22"/>
          <w:szCs w:val="22"/>
        </w:rPr>
        <w:t xml:space="preserve">Der Band basiert auf der Sammlung nomadischer Inschriften des ersten bis vierten Jahrhunderts nach Christus. Beduinen ritzten sie in safaitischer Schrift in den Basalt der Wüste im Süden Syriens und in Nordjordanien.</w:t>
      </w:r>
    </w:p>
    <w:p>
      <w:pPr>
        <w:spacing w:after="200" w:line="320"/>
      </w:pPr>
      <w:r>
        <w:rPr>
          <w:rFonts w:ascii="Georgia" w:cs="Georgia" w:eastAsia="Georgia" w:hAnsi="Georgia"/>
          <w:sz w:val="22"/>
          <w:szCs w:val="22"/>
        </w:rPr>
        <w:t xml:space="preserve">Der Stein konservierte die Markierungen der Hirten und Händler, ihre Inschriften überdauerten die Jahrtausende in extremer Hitze und Kälte. Ihr Reiz beruht wenig auf Handlung oder Drama, sondern auf dem Akt des Schreibens allein oder mit Tieren reisender Männer.</w:t>
      </w:r>
    </w:p>
    <w:p>
      <w:pPr>
        <w:spacing w:after="200" w:line="320"/>
      </w:pPr>
      <w:r>
        <w:rPr>
          <w:rFonts w:ascii="Georgia" w:cs="Georgia" w:eastAsia="Georgia" w:hAnsi="Georgia"/>
          <w:sz w:val="22"/>
          <w:szCs w:val="22"/>
        </w:rPr>
        <w:t xml:space="preserve">Die von Erosion gezeichnete Flächen des Basalts machen einzelne Zeichen manchmal unleserlich oder zerstört sie – es bleiben sichtbare Lücken dieser Schädigung. Mancherorts ist eine Aufzählung der Ahnen selbst die Markierung, fehlende Namen artikulieren sich über ihre Leerstelle.</w:t>
      </w:r>
    </w:p>
    <w:p>
      <w:pPr>
        <w:spacing w:after="200" w:line="320"/>
      </w:pPr>
      <w:r>
        <w:rPr>
          <w:rFonts w:ascii="Georgia" w:cs="Georgia" w:eastAsia="Georgia" w:hAnsi="Georgia"/>
          <w:sz w:val="22"/>
          <w:szCs w:val="22"/>
        </w:rPr>
        <w:t xml:space="preserve">Zu etwa 1.500 der 31.800 Inschriften gehören Zeichnungen die zum Teil direkt in die Schrift integriert sind – eine Art antiker Comic. Zeichnungen bleiben diesem Band außen vor, dies markiert ihn als auf verdichtete Schrift fokussierten Band.</w:t>
      </w:r>
    </w:p>
    <w:p>
      <w:pPr>
        <w:spacing w:after="200" w:line="320"/>
      </w:pPr>
      <w:r>
        <w:rPr>
          <w:rFonts w:ascii="Georgia" w:cs="Georgia" w:eastAsia="Georgia" w:hAnsi="Georgia"/>
          <w:sz w:val="22"/>
          <w:szCs w:val="22"/>
        </w:rPr>
        <w:t xml:space="preserve">Die Anordnung der Kapitel durchläuft verschiedene Akte und Haltungen: vom Stehen am Stein über Wünsche und Flüche hin zu Entzug und Zeugnis. Safaitisch, eine nordarabische Konsonantenschrift ohne Vokale, lässt Modus und Person mehrdeutig, diese sprachliche Unbestimmtheit nur aus Kontexten zu erschließen.</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before="260" w:after="4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before="260" w:after="4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before="260" w:after="4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before="260" w:after="4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before="260" w:after="4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38</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Qāʿ Fahadah · AAEK 102</w:t>
      </w:r>
    </w:p>
    <w:p>
      <w:pPr>
        <w:spacing w:after="40"/>
      </w:pPr>
      <w:r>
        <w:rPr>
          <w:rFonts w:ascii="Georgia" w:cs="Georgia" w:eastAsia="Georgia" w:hAnsi="Georgia"/>
          <w:sz w:val="22"/>
          <w:szCs w:val="22"/>
        </w:rPr>
        <w:t xml:space="preserve">Von Dʾyt,</w:t>
      </w:r>
    </w:p>
    <w:p>
      <w:pPr>
        <w:spacing w:after="40"/>
      </w:pPr>
      <w:r>
        <w:rPr>
          <w:rFonts w:ascii="Georgia" w:cs="Georgia" w:eastAsia="Georgia" w:hAnsi="Georgia"/>
          <w:sz w:val="22"/>
          <w:szCs w:val="22"/>
        </w:rPr>
        <w:t xml:space="preserve">Sohn des Mʿdʾl, Sohn des ʾḏnt,</w:t>
      </w:r>
    </w:p>
    <w:p>
      <w:pPr>
        <w:spacing w:after="40"/>
      </w:pPr>
      <w:r>
        <w:rPr>
          <w:rFonts w:ascii="Georgia" w:cs="Georgia" w:eastAsia="Georgia" w:hAnsi="Georgia"/>
          <w:sz w:val="22"/>
          <w:szCs w:val="22"/>
        </w:rPr>
        <w:t xml:space="preserve">Sohn des Hs¹m, Sohn des Gḥs²t,</w:t>
      </w:r>
    </w:p>
    <w:p>
      <w:pPr>
        <w:spacing w:after="40"/>
      </w:pPr>
      <w:r>
        <w:rPr>
          <w:rFonts w:ascii="Georgia" w:cs="Georgia" w:eastAsia="Georgia" w:hAnsi="Georgia"/>
          <w:sz w:val="22"/>
          <w:szCs w:val="22"/>
        </w:rPr>
        <w:t xml:space="preserve">Sohn des S¹dy, Sohn des Wṭy,</w:t>
      </w:r>
    </w:p>
    <w:p>
      <w:pPr>
        <w:spacing w:after="40"/>
      </w:pPr>
      <w:r>
        <w:rPr>
          <w:rFonts w:ascii="Georgia" w:cs="Georgia" w:eastAsia="Georgia" w:hAnsi="Georgia"/>
          <w:sz w:val="22"/>
          <w:szCs w:val="22"/>
        </w:rPr>
        <w:t xml:space="preserve">Sohn des Byq, Sohn des Ngrt,</w:t>
      </w:r>
    </w:p>
    <w:p>
      <w:pPr>
        <w:spacing w:after="40"/>
      </w:pPr>
      <w:r>
        <w:rPr>
          <w:rFonts w:ascii="Georgia" w:cs="Georgia" w:eastAsia="Georgia" w:hAnsi="Georgia"/>
          <w:sz w:val="22"/>
          <w:szCs w:val="22"/>
        </w:rPr>
        <w:t xml:space="preserve">Sohn des Qnfḏ.</w:t>
      </w:r>
    </w:p>
    <w:p>
      <w:pPr>
        <w:spacing w:before="260" w:after="40"/>
      </w:pPr>
      <w:r>
        <w:rPr>
          <w:rFonts w:ascii="Georgia" w:cs="Georgia" w:eastAsia="Georgia" w:hAnsi="Georgia"/>
          <w:color w:val="7A5C3E"/>
          <w:sz w:val="16"/>
          <w:szCs w:val="16"/>
        </w:rPr>
        <w:t xml:space="preserve">Qāʿ Fahadah · AAEK 120</w:t>
      </w:r>
    </w:p>
    <w:p>
      <w:pPr>
        <w:spacing w:after="40"/>
      </w:pPr>
      <w:r>
        <w:rPr>
          <w:rFonts w:ascii="Georgia" w:cs="Georgia" w:eastAsia="Georgia" w:hAnsi="Georgia"/>
          <w:sz w:val="22"/>
          <w:szCs w:val="22"/>
        </w:rPr>
        <w:t xml:space="preserve">Von ʾzr, Sohn des Ftn,</w:t>
      </w:r>
    </w:p>
    <w:p>
      <w:pPr>
        <w:spacing w:after="40"/>
      </w:pPr>
      <w:r>
        <w:rPr>
          <w:rFonts w:ascii="Georgia" w:cs="Georgia" w:eastAsia="Georgia" w:hAnsi="Georgia"/>
          <w:sz w:val="22"/>
          <w:szCs w:val="22"/>
        </w:rPr>
        <w:t xml:space="preserve">Sohn des Gṯ, Sohn des S²ʿr,</w:t>
      </w:r>
    </w:p>
    <w:p>
      <w:pPr>
        <w:spacing w:after="40"/>
      </w:pPr>
      <w:r>
        <w:rPr>
          <w:rFonts w:ascii="Georgia" w:cs="Georgia" w:eastAsia="Georgia" w:hAnsi="Georgia"/>
          <w:sz w:val="22"/>
          <w:szCs w:val="22"/>
        </w:rPr>
        <w:t xml:space="preserve">Sohn des Rḥmʾl,</w:t>
      </w:r>
    </w:p>
    <w:p>
      <w:pPr>
        <w:spacing w:after="40"/>
      </w:pPr>
      <w:r>
        <w:rPr>
          <w:rFonts w:ascii="Georgia" w:cs="Georgia" w:eastAsia="Georgia" w:hAnsi="Georgia"/>
          <w:sz w:val="22"/>
          <w:szCs w:val="22"/>
        </w:rPr>
        <w:t xml:space="preserve">Sohn des Mrʾt, Sohn des Gryt.</w:t>
      </w:r>
    </w:p>
    <w:p>
      <w:pPr>
        <w:spacing w:before="260" w:after="40"/>
      </w:pPr>
      <w:r>
        <w:rPr>
          <w:rFonts w:ascii="Georgia" w:cs="Georgia" w:eastAsia="Georgia" w:hAnsi="Georgia"/>
          <w:color w:val="7A5C3E"/>
          <w:sz w:val="16"/>
          <w:szCs w:val="16"/>
        </w:rPr>
        <w:t xml:space="preserve">Qāʿ Fahadah · ASFF 244</w:t>
      </w:r>
    </w:p>
    <w:p>
      <w:pPr>
        <w:spacing w:after="40"/>
      </w:pPr>
      <w:r>
        <w:rPr>
          <w:rFonts w:ascii="Georgia" w:cs="Georgia" w:eastAsia="Georgia" w:hAnsi="Georgia"/>
          <w:sz w:val="22"/>
          <w:szCs w:val="22"/>
        </w:rPr>
        <w:t xml:space="preserve">Von ʾzr, Sohn des Ftn,</w:t>
      </w:r>
    </w:p>
    <w:p>
      <w:pPr>
        <w:spacing w:after="40"/>
      </w:pPr>
      <w:r>
        <w:rPr>
          <w:rFonts w:ascii="Georgia" w:cs="Georgia" w:eastAsia="Georgia" w:hAnsi="Georgia"/>
          <w:sz w:val="22"/>
          <w:szCs w:val="22"/>
        </w:rPr>
        <w:t xml:space="preserve">Sohn des Mṯn, Sohn des S²ʿhm,</w:t>
      </w:r>
    </w:p>
    <w:p>
      <w:pPr>
        <w:spacing w:after="40"/>
      </w:pPr>
      <w:r>
        <w:rPr>
          <w:rFonts w:ascii="Georgia" w:cs="Georgia" w:eastAsia="Georgia" w:hAnsi="Georgia"/>
          <w:sz w:val="22"/>
          <w:szCs w:val="22"/>
        </w:rPr>
        <w:t xml:space="preserve">Sohn des Rḥhl,</w:t>
      </w:r>
    </w:p>
    <w:p>
      <w:pPr>
        <w:spacing w:after="40"/>
      </w:pPr>
      <w:r>
        <w:rPr>
          <w:rFonts w:ascii="Georgia" w:cs="Georgia" w:eastAsia="Georgia" w:hAnsi="Georgia"/>
          <w:sz w:val="22"/>
          <w:szCs w:val="22"/>
        </w:rPr>
        <w:t xml:space="preserve">Sohn des Mrʾt, Sohn des Gryt.</w:t>
      </w:r>
    </w:p>
    <w:p>
      <w:pPr>
        <w:spacing w:before="260" w:after="40"/>
      </w:pPr>
      <w:r>
        <w:rPr>
          <w:rFonts w:ascii="Georgia" w:cs="Georgia" w:eastAsia="Georgia" w:hAnsi="Georgia"/>
          <w:color w:val="7A5C3E"/>
          <w:sz w:val="16"/>
          <w:szCs w:val="16"/>
        </w:rPr>
        <w:t xml:space="preserve">Qāʿ Fahadah · ASFF 390</w:t>
      </w:r>
    </w:p>
    <w:p>
      <w:pPr>
        <w:spacing w:after="40"/>
      </w:pPr>
      <w:r>
        <w:rPr>
          <w:rFonts w:ascii="Georgia" w:cs="Georgia" w:eastAsia="Georgia" w:hAnsi="Georgia"/>
          <w:sz w:val="22"/>
          <w:szCs w:val="22"/>
        </w:rPr>
        <w:t xml:space="preserve">Von Hnʾt, Sohn des S¹lmt,</w:t>
      </w:r>
    </w:p>
    <w:p>
      <w:pPr>
        <w:spacing w:after="40"/>
      </w:pPr>
      <w:r>
        <w:rPr>
          <w:rFonts w:ascii="Georgia" w:cs="Georgia" w:eastAsia="Georgia" w:hAnsi="Georgia"/>
          <w:sz w:val="22"/>
          <w:szCs w:val="22"/>
        </w:rPr>
        <w:t xml:space="preserve">Sohn des Lḏn, Sohn des S¹krn,</w:t>
      </w:r>
    </w:p>
    <w:p>
      <w:pPr>
        <w:spacing w:after="40"/>
      </w:pPr>
      <w:r>
        <w:rPr>
          <w:rFonts w:ascii="Georgia" w:cs="Georgia" w:eastAsia="Georgia" w:hAnsi="Georgia"/>
          <w:sz w:val="22"/>
          <w:szCs w:val="22"/>
        </w:rPr>
        <w:t xml:space="preserve">Sohn des Ndbn, Sohn des Ṣrm.</w:t>
      </w:r>
    </w:p>
    <w:p>
      <w:pPr>
        <w:spacing w:before="260" w:after="40"/>
      </w:pPr>
      <w:r>
        <w:rPr>
          <w:rFonts w:ascii="Georgia" w:cs="Georgia" w:eastAsia="Georgia" w:hAnsi="Georgia"/>
          <w:color w:val="7A5C3E"/>
          <w:sz w:val="16"/>
          <w:szCs w:val="16"/>
        </w:rPr>
        <w:t xml:space="preserve">Qāʿ Fahadah · ASFF 392</w:t>
      </w:r>
    </w:p>
    <w:p>
      <w:pPr>
        <w:spacing w:after="40"/>
      </w:pPr>
      <w:r>
        <w:rPr>
          <w:rFonts w:ascii="Georgia" w:cs="Georgia" w:eastAsia="Georgia" w:hAnsi="Georgia"/>
          <w:sz w:val="22"/>
          <w:szCs w:val="22"/>
        </w:rPr>
        <w:t xml:space="preserve">Von Kmn, Sohn des S¹lmt,</w:t>
      </w:r>
    </w:p>
    <w:p>
      <w:pPr>
        <w:spacing w:after="40"/>
      </w:pPr>
      <w:r>
        <w:rPr>
          <w:rFonts w:ascii="Georgia" w:cs="Georgia" w:eastAsia="Georgia" w:hAnsi="Georgia"/>
          <w:sz w:val="22"/>
          <w:szCs w:val="22"/>
        </w:rPr>
        <w:t xml:space="preserve">Sohn des Lḏn, Sohn des S¹krn,</w:t>
      </w:r>
    </w:p>
    <w:p>
      <w:pPr>
        <w:spacing w:after="40"/>
      </w:pPr>
      <w:r>
        <w:rPr>
          <w:rFonts w:ascii="Georgia" w:cs="Georgia" w:eastAsia="Georgia" w:hAnsi="Georgia"/>
          <w:sz w:val="22"/>
          <w:szCs w:val="22"/>
        </w:rPr>
        <w:t xml:space="preserve">Sohn des Ndbn, Sohn des Ṣrm.</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before="260" w:after="4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before="260" w:after="4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before="260" w:after="40"/>
      </w:pPr>
      <w:r>
        <w:rPr>
          <w:rFonts w:ascii="Georgia" w:cs="Georgia" w:eastAsia="Georgia" w:hAnsi="Georgia"/>
          <w:color w:val="7A5C3E"/>
          <w:sz w:val="16"/>
          <w:szCs w:val="16"/>
        </w:rPr>
        <w:t xml:space="preserve">al-ʿĪsāwī · Is.Mu 484</w:t>
      </w:r>
    </w:p>
    <w:p>
      <w:pPr>
        <w:spacing w:after="40"/>
      </w:pPr>
      <w:r>
        <w:rPr>
          <w:rFonts w:ascii="Georgia" w:cs="Georgia" w:eastAsia="Georgia" w:hAnsi="Georgia"/>
          <w:sz w:val="22"/>
          <w:szCs w:val="22"/>
        </w:rPr>
        <w:t xml:space="preserve">Von Nr, Sohn des Qdm —</w:t>
      </w:r>
    </w:p>
    <w:p>
      <w:pPr>
        <w:spacing w:after="40"/>
      </w:pPr>
      <w:r>
        <w:rPr>
          <w:rFonts w:ascii="Georgia" w:cs="Georgia" w:eastAsia="Georgia" w:hAnsi="Georgia"/>
          <w:sz w:val="22"/>
          <w:szCs w:val="22"/>
        </w:rPr>
        <w:t xml:space="preserve">und er schrieb seinen Namen</w:t>
      </w:r>
    </w:p>
    <w:p>
      <w:pPr>
        <w:spacing w:after="40"/>
      </w:pPr>
      <w:r>
        <w:rPr>
          <w:rFonts w:ascii="Georgia" w:cs="Georgia" w:eastAsia="Georgia" w:hAnsi="Georgia"/>
          <w:sz w:val="22"/>
          <w:szCs w:val="22"/>
        </w:rPr>
        <w:t xml:space="preserve">zum ersten Mal.</w:t>
      </w:r>
    </w:p>
    <w:p>
      <w:pPr>
        <w:spacing w:before="260" w:after="40"/>
      </w:pPr>
      <w:r>
        <w:rPr>
          <w:rFonts w:ascii="Georgia" w:cs="Georgia" w:eastAsia="Georgia" w:hAnsi="Georgia"/>
          <w:color w:val="7A5C3E"/>
          <w:sz w:val="16"/>
          <w:szCs w:val="16"/>
        </w:rPr>
        <w:t xml:space="preserve">Jawa · SIJ 291</w:t>
      </w:r>
    </w:p>
    <w:p>
      <w:pPr>
        <w:spacing w:after="40"/>
      </w:pPr>
      <w:r>
        <w:rPr>
          <w:rFonts w:ascii="Georgia" w:cs="Georgia" w:eastAsia="Georgia" w:hAnsi="Georgia"/>
          <w:sz w:val="22"/>
          <w:szCs w:val="22"/>
        </w:rPr>
        <w:t xml:space="preserve">Von S²rk —</w:t>
      </w:r>
    </w:p>
    <w:p>
      <w:pPr>
        <w:spacing w:after="40"/>
      </w:pPr>
      <w:r>
        <w:rPr>
          <w:rFonts w:ascii="Georgia" w:cs="Georgia" w:eastAsia="Georgia" w:hAnsi="Georgia"/>
          <w:sz w:val="22"/>
          <w:szCs w:val="22"/>
        </w:rPr>
        <w:t xml:space="preserve">und er schrieb für den Oheim,</w:t>
      </w:r>
    </w:p>
    <w:p>
      <w:pPr>
        <w:spacing w:after="40"/>
      </w:pPr>
      <w:r>
        <w:rPr>
          <w:rFonts w:ascii="Georgia" w:cs="Georgia" w:eastAsia="Georgia" w:hAnsi="Georgia"/>
          <w:sz w:val="22"/>
          <w:szCs w:val="22"/>
        </w:rPr>
        <w:t xml:space="preserve">und er schrieb für den wahren Freund.</w:t>
      </w:r>
    </w:p>
    <w:p>
      <w:pPr>
        <w:spacing w:before="260" w:after="4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Von Bnḥt.</w:t>
      </w:r>
    </w:p>
    <w:p>
      <w:pPr>
        <w:spacing w:before="260" w:after="4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Von ʿṭs¹.</w:t>
      </w:r>
    </w:p>
    <w:p>
      <w:pPr>
        <w:spacing w:before="260" w:after="4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Von ʿdy.</w:t>
      </w:r>
    </w:p>
    <w:p>
      <w:pPr>
        <w:spacing w:before="260" w:after="4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Von ʾnʿm.</w:t>
      </w:r>
    </w:p>
    <w:p>
      <w:pPr>
        <w:spacing w:before="260" w:after="4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Von S¹ḫr.</w:t>
      </w:r>
    </w:p>
    <w:p>
      <w:pPr>
        <w:spacing w:before="260" w:after="4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Von S¹ʿd.</w:t>
      </w:r>
    </w:p>
    <w:p>
      <w:pPr>
        <w:spacing w:before="260" w:after="4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Von S¹lf.</w:t>
      </w:r>
    </w:p>
    <w:p>
      <w:pPr>
        <w:spacing w:before="260" w:after="4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Von ʾḫwn.</w:t>
      </w:r>
    </w:p>
    <w:p>
      <w:pPr>
        <w:spacing w:before="260" w:after="4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Von S²d.</w:t>
      </w:r>
    </w:p>
    <w:p>
      <w:pPr>
        <w:spacing w:before="260" w:after="4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Von Hnb.</w:t>
      </w:r>
    </w:p>
    <w:p>
      <w:pPr>
        <w:spacing w:before="260" w:after="40"/>
      </w:pPr>
      <w:r>
        <w:rPr>
          <w:rFonts w:ascii="Georgia" w:cs="Georgia" w:eastAsia="Georgia" w:hAnsi="Georgia"/>
          <w:color w:val="7A5C3E"/>
          <w:sz w:val="16"/>
          <w:szCs w:val="16"/>
        </w:rPr>
        <w:t xml:space="preserve">Ḥarrat al-Raǧil · Rees 176</w:t>
      </w:r>
    </w:p>
    <w:p>
      <w:pPr>
        <w:spacing w:after="40"/>
      </w:pPr>
      <w:r>
        <w:rPr>
          <w:rFonts w:ascii="Georgia" w:cs="Georgia" w:eastAsia="Georgia" w:hAnsi="Georgia"/>
          <w:sz w:val="22"/>
          <w:szCs w:val="22"/>
        </w:rPr>
        <w:t xml:space="preserve">Von S¹drt.</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before="260" w:after="4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before="260" w:after="4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before="260" w:after="4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before="260" w:after="4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before="260" w:after="4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before="260" w:after="4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before="260" w:after="4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before="260" w:after="40"/>
      </w:pPr>
      <w:r>
        <w:rPr>
          <w:rFonts w:ascii="Georgia" w:cs="Georgia" w:eastAsia="Georgia" w:hAnsi="Georgia"/>
          <w:color w:val="7A5C3E"/>
          <w:sz w:val="16"/>
          <w:szCs w:val="16"/>
        </w:rPr>
        <w:t xml:space="preserve">Wādī Salma · RWQ 120</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für seine Gefährten,</w:t>
      </w:r>
    </w:p>
    <w:p>
      <w:pPr>
        <w:spacing w:after="40"/>
      </w:pPr>
      <w:r>
        <w:rPr>
          <w:rFonts w:ascii="Georgia" w:cs="Georgia" w:eastAsia="Georgia" w:hAnsi="Georgia"/>
          <w:sz w:val="22"/>
          <w:szCs w:val="22"/>
        </w:rPr>
        <w:t xml:space="preserve">während sie am beständigen Wasser lagerten,</w:t>
      </w:r>
    </w:p>
    <w:p>
      <w:pPr>
        <w:spacing w:after="40"/>
      </w:pPr>
      <w:r>
        <w:rPr>
          <w:rFonts w:ascii="Georgia" w:cs="Georgia" w:eastAsia="Georgia" w:hAnsi="Georgia"/>
          <w:sz w:val="22"/>
          <w:szCs w:val="22"/>
        </w:rPr>
        <w:t xml:space="preserve">und trauerte um Yḥy.</w:t>
      </w:r>
    </w:p>
    <w:p>
      <w:pPr>
        <w:spacing w:before="260" w:after="4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before="260" w:after="40"/>
      </w:pPr>
      <w:r>
        <w:rPr>
          <w:rFonts w:ascii="Georgia" w:cs="Georgia" w:eastAsia="Georgia" w:hAnsi="Georgia"/>
          <w:color w:val="7A5C3E"/>
          <w:sz w:val="16"/>
          <w:szCs w:val="16"/>
        </w:rPr>
        <w:t xml:space="preserve">Zalaf · C 2194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pPr>
        <w:spacing w:before="260" w:after="4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before="260" w:after="4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before="260" w:after="4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before="260" w:after="4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before="260" w:after="4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before="260" w:after="4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before="260" w:after="4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before="260" w:after="4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before="260" w:after="4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before="260" w:after="4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before="260" w:after="4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before="260" w:after="4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before="260" w:after="4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before="260" w:after="4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before="260" w:after="4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before="260" w:after="4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before="260" w:after="4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before="260" w:after="40"/>
      </w:pPr>
      <w:r>
        <w:rPr>
          <w:rFonts w:ascii="Georgia" w:cs="Georgia" w:eastAsia="Georgia" w:hAnsi="Georgia"/>
          <w:color w:val="7A5C3E"/>
          <w:sz w:val="16"/>
          <w:szCs w:val="16"/>
        </w:rPr>
        <w:t xml:space="preserve">Zalaf · C 1660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schweige</w:t>
      </w:r>
    </w:p>
    <w:p>
      <w:pPr>
        <w:spacing w:before="260" w:after="4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before="260" w:after="4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before="260" w:after="40"/>
      </w:pPr>
      <w:r>
        <w:rPr>
          <w:rFonts w:ascii="Georgia" w:cs="Georgia" w:eastAsia="Georgia" w:hAnsi="Georgia"/>
          <w:color w:val="7A5C3E"/>
          <w:sz w:val="16"/>
          <w:szCs w:val="16"/>
        </w:rPr>
        <w:t xml:space="preserve">Riǧm Qaʿqūl · C 1368</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before="260" w:after="4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before="260" w:after="4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before="260" w:after="4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before="260" w:after="4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before="260" w:after="4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before="260" w:after="4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before="260" w:after="4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before="260" w:after="4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before="260" w:after="4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before="260" w:after="4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before="260" w:after="4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before="260" w:after="4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klage</w:t>
      </w:r>
    </w:p>
    <w:p>
      <w:pPr>
        <w:spacing w:before="260" w:after="4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before="260" w:after="4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before="260" w:after="4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before="260" w:after="4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before="260" w:after="4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before="260" w:after="4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Sie weinten vor Kummer.</w:t>
      </w:r>
    </w:p>
    <w:p>
      <w:pPr>
        <w:spacing w:before="260" w:after="4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before="260" w:after="4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Ḥarrat al-Raǧil · C 5367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before="260" w:after="4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fluche</w:t>
      </w:r>
    </w:p>
    <w:p>
      <w:pPr>
        <w:spacing w:before="260" w:after="4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before="260" w:after="4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before="260" w:after="4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before="260" w:after="40"/>
      </w:pPr>
      <w:r>
        <w:rPr>
          <w:rFonts w:ascii="Georgia" w:cs="Georgia" w:eastAsia="Georgia" w:hAnsi="Georgia"/>
          <w:color w:val="7A5C3E"/>
          <w:sz w:val="16"/>
          <w:szCs w:val="16"/>
        </w:rPr>
        <w:t xml:space="preserve">Tall aḍ-Ḍabiʿ · RSIS 132</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 Schrift auskratzt.</w:t>
      </w:r>
    </w:p>
    <w:p>
      <w:pPr>
        <w:spacing w:before="260" w:after="4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before="260" w:after="4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before="260" w:after="4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before="260" w:after="40"/>
      </w:pPr>
      <w:r>
        <w:rPr>
          <w:rFonts w:ascii="Georgia" w:cs="Georgia" w:eastAsia="Georgia" w:hAnsi="Georgia"/>
          <w:color w:val="7A5C3E"/>
          <w:sz w:val="16"/>
          <w:szCs w:val="16"/>
        </w:rPr>
        <w:t xml:space="preserve">al-ʿĪsāwī · LP 308</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before="260" w:after="4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before="260" w:after="4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before="260" w:after="40"/>
      </w:pPr>
      <w:r>
        <w:rPr>
          <w:rFonts w:ascii="Georgia" w:cs="Georgia" w:eastAsia="Georgia" w:hAnsi="Georgia"/>
          <w:color w:val="7A5C3E"/>
          <w:sz w:val="16"/>
          <w:szCs w:val="16"/>
        </w:rPr>
        <w:t xml:space="preserve">Al-Mafraq · KRS 2919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Rif Dimašq · C 1087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Beute dem, der dies vorliest,</w:t>
      </w:r>
    </w:p>
    <w:p>
      <w:pPr>
        <w:spacing w:after="40"/>
      </w:pPr>
      <w:r>
        <w:rPr>
          <w:rFonts w:ascii="Georgia" w:cs="Georgia" w:eastAsia="Georgia" w:hAnsi="Georgia"/>
          <w:sz w:val="22"/>
          <w:szCs w:val="22"/>
        </w:rPr>
        <w:t xml:space="preserve">Lähmung und schändliche Blindheit</w:t>
      </w:r>
    </w:p>
    <w:p>
      <w:pPr>
        <w:spacing w:after="40"/>
      </w:pPr>
      <w:r>
        <w:rPr>
          <w:rFonts w:ascii="Georgia" w:cs="Georgia" w:eastAsia="Georgia" w:hAnsi="Georgia"/>
          <w:sz w:val="22"/>
          <w:szCs w:val="22"/>
        </w:rPr>
        <w:t xml:space="preserve">dem, der die Worte verletzt.</w:t>
      </w:r>
    </w:p>
    <w:p>
      <w:pPr>
        <w:spacing w:before="260" w:after="4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bezeuge</w:t>
      </w:r>
    </w:p>
    <w:p>
      <w:pPr>
        <w:spacing w:before="260" w:after="4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before="260" w:after="4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before="260" w:after="4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Rif Dimašq · C 4902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before="260" w:after="4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before="260" w:after="4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before="260" w:after="40"/>
      </w:pPr>
      <w:r>
        <w:rPr>
          <w:rFonts w:ascii="Georgia" w:cs="Georgia" w:eastAsia="Georgia" w:hAnsi="Georgia"/>
          <w:color w:val="7A5C3E"/>
          <w:sz w:val="16"/>
          <w:szCs w:val="16"/>
        </w:rPr>
        <w:t xml:space="preserve">Al-Mrōshan · LP 254</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der Stamm Qmr</w:t>
      </w:r>
    </w:p>
    <w:p>
      <w:pPr>
        <w:spacing w:after="40"/>
      </w:pPr>
      <w:r>
        <w:rPr>
          <w:rFonts w:ascii="Georgia" w:cs="Georgia" w:eastAsia="Georgia" w:hAnsi="Georgia"/>
          <w:sz w:val="22"/>
          <w:szCs w:val="22"/>
        </w:rPr>
        <w:t xml:space="preserve">dem Stamm Ḥmy Schaden tat,</w:t>
      </w:r>
    </w:p>
    <w:p>
      <w:pPr>
        <w:spacing w:after="40"/>
      </w:pPr>
      <w:r>
        <w:rPr>
          <w:rFonts w:ascii="Georgia" w:cs="Georgia" w:eastAsia="Georgia" w:hAnsi="Georgia"/>
          <w:sz w:val="22"/>
          <w:szCs w:val="22"/>
        </w:rPr>
        <w:t xml:space="preserve">und trauerte um Ġṯ,</w:t>
      </w:r>
    </w:p>
    <w:p>
      <w:pPr>
        <w:spacing w:after="40"/>
      </w:pPr>
      <w:r>
        <w:rPr>
          <w:rFonts w:ascii="Georgia" w:cs="Georgia" w:eastAsia="Georgia" w:hAnsi="Georgia"/>
          <w:sz w:val="22"/>
          <w:szCs w:val="22"/>
        </w:rPr>
        <w:t xml:space="preserve">zu früh gestorben, vom Schicksal gebeugt.</w:t>
      </w:r>
    </w:p>
    <w:p>
      <w:pPr>
        <w:spacing w:before="260" w:after="4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before="260" w:after="4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before="260" w:after="4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before="260" w:after="4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before="260" w:after="4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before="260" w:after="4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before="260" w:after="4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before="260" w:after="4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before="260" w:after="4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before="260" w:after="4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before="260" w:after="4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r>
        <w:br w:type="page"/>
      </w:r>
    </w:p>
    <w:p>
      <w:r>
        <w:rPr>
          <w:rFonts w:ascii="Georgia" w:cs="Georgia" w:eastAsia="Georgia" w:hAnsi="Georgia"/>
          <w:b/>
          <w:sz w:val="30"/>
          <w:szCs w:val="30"/>
        </w:rPr>
        <w:t xml:space="preserve">Nachwort</w:t>
      </w:r>
    </w:p>
    <w:p>
      <w:pPr>
        <w:spacing w:before="200" w:after="80"/>
      </w:pPr>
      <w:r>
        <w:rPr>
          <w:rFonts w:ascii="Georgia" w:cs="Georgia" w:eastAsia="Georgia" w:hAnsi="Georgia"/>
          <w:b/>
          <w:sz w:val="24"/>
          <w:szCs w:val="24"/>
        </w:rPr>
        <w:t xml:space="preserve">Das OCIANA-Korpus</w:t>
      </w:r>
    </w:p>
    <w:p>
      <w:pPr>
        <w:spacing w:after="200" w:line="320"/>
      </w:pPr>
      <w:r>
        <w:rPr>
          <w:rFonts w:ascii="Georgia" w:cs="Georgia" w:eastAsia="Georgia" w:hAnsi="Georgia"/>
          <w:sz w:val="22"/>
          <w:szCs w:val="22"/>
        </w:rPr>
        <w:t xml:space="preserve">Sämtliche Textgrundlagen, Siglen und Ortsbestimmungen dieses Bandes beziehen sich auf das Online Corpus of the Inscriptions of Ancient North Arabia (OCIANA), das an der Universität Oxford entwickelte digitale Referenzkorpus für die epigraphischen Zeugnisse des antiken Nordarabiens. OCIANA erfasst, ediert und systematisiert zehntausende Inschriften – darunter das gesamte bekannte safaitische Korpus – und stellt die wissenschaftliche Nomenklatur, Lesarten sowie Geodaten bereit. Das System dient in diesem Band als philologische Datenbasis und Ausgangspunkt für die poetische Verdichtung und Reduktion.</w:t>
      </w:r>
    </w:p>
    <w:p>
      <w:pPr>
        <w:spacing w:before="200" w:after="80"/>
      </w:pPr>
      <w:r>
        <w:rPr>
          <w:rFonts w:ascii="Georgia" w:cs="Georgia" w:eastAsia="Georgia" w:hAnsi="Georgia"/>
          <w:b/>
          <w:sz w:val="24"/>
          <w:szCs w:val="24"/>
        </w:rPr>
        <w:t xml:space="preserve">Die editorischen Siglen (Ergänzung)</w:t>
      </w:r>
    </w:p>
    <w:p>
      <w:pPr>
        <w:spacing w:after="200" w:line="320"/>
      </w:pPr>
      <w:r>
        <w:rPr>
          <w:rFonts w:ascii="Georgia" w:cs="Georgia" w:eastAsia="Georgia" w:hAnsi="Georgia"/>
          <w:sz w:val="22"/>
          <w:szCs w:val="22"/>
        </w:rPr>
        <w:t xml:space="preserve">Die im Band verwendeten dreistelligen Buchstabencodes (z. B. KRS, HCH, WH) verweisen auf die wissenschaftlichen Standard-Editionen und historischen Entdecker-Korpora, in denen die Inschriften erstmals dokumentiert wurden. Sie dienen im Online Corpus of the Inscriptions of Ancient North Arabia (OCIANA) als eindeutige Identifikatoren:</w:t>
      </w:r>
    </w:p>
    <w:p>
      <w:pPr>
        <w:spacing w:after="120" w:line="300"/>
      </w:pPr>
      <w:r>
        <w:rPr>
          <w:rFonts w:ascii="Georgia" w:cs="Georgia" w:eastAsia="Georgia" w:hAnsi="Georgia"/>
          <w:b/>
          <w:sz w:val="22"/>
          <w:szCs w:val="22"/>
        </w:rPr>
        <w:t xml:space="preserve">HCH</w:t>
      </w:r>
      <w:r>
        <w:rPr>
          <w:rFonts w:ascii="Georgia" w:cs="Georgia" w:eastAsia="Georgia" w:hAnsi="Georgia"/>
          <w:sz w:val="22"/>
          <w:szCs w:val="22"/>
        </w:rPr>
        <w:t xml:space="preserve">: Inscriptions in the Harra Collection – Das von G. L. Harding 1953 in der jordanischen Basaltwüste dokumentierte Korpus.</w:t>
      </w:r>
    </w:p>
    <w:p>
      <w:pPr>
        <w:spacing w:after="120" w:line="300"/>
      </w:pPr>
      <w:r>
        <w:rPr>
          <w:rFonts w:ascii="Georgia" w:cs="Georgia" w:eastAsia="Georgia" w:hAnsi="Georgia"/>
          <w:b/>
          <w:sz w:val="22"/>
          <w:szCs w:val="22"/>
        </w:rPr>
        <w:t xml:space="preserve">KRS</w:t>
      </w:r>
      <w:r>
        <w:rPr>
          <w:rFonts w:ascii="Georgia" w:cs="Georgia" w:eastAsia="Georgia" w:hAnsi="Georgia"/>
          <w:sz w:val="22"/>
          <w:szCs w:val="22"/>
        </w:rPr>
        <w:t xml:space="preserve">: King Ramadan Survey – Funde aus den systematischen archäologischen Surveys in Nordostjordanien.</w:t>
      </w:r>
    </w:p>
    <w:p>
      <w:pPr>
        <w:spacing w:after="120" w:line="300"/>
      </w:pPr>
      <w:r>
        <w:rPr>
          <w:rFonts w:ascii="Georgia" w:cs="Georgia" w:eastAsia="Georgia" w:hAnsi="Georgia"/>
          <w:b/>
          <w:sz w:val="22"/>
          <w:szCs w:val="22"/>
        </w:rPr>
        <w:t xml:space="preserve">LP</w:t>
      </w:r>
      <w:r>
        <w:rPr>
          <w:rFonts w:ascii="Georgia" w:cs="Georgia" w:eastAsia="Georgia" w:hAnsi="Georgia"/>
          <w:sz w:val="22"/>
          <w:szCs w:val="22"/>
        </w:rPr>
        <w:t xml:space="preserve">: Littmann, Safaitic Inscriptions – Die frühen, grundlegenden Editionen der Enno-Littmann-Expeditionen vom Beginn des 20. Jahrhunderts.</w:t>
      </w:r>
    </w:p>
    <w:p>
      <w:pPr>
        <w:spacing w:after="120" w:line="300"/>
      </w:pPr>
      <w:r>
        <w:rPr>
          <w:rFonts w:ascii="Georgia" w:cs="Georgia" w:eastAsia="Georgia" w:hAnsi="Georgia"/>
          <w:b/>
          <w:sz w:val="22"/>
          <w:szCs w:val="22"/>
        </w:rPr>
        <w:t xml:space="preserve">WH</w:t>
      </w:r>
      <w:r>
        <w:rPr>
          <w:rFonts w:ascii="Georgia" w:cs="Georgia" w:eastAsia="Georgia" w:hAnsi="Georgia"/>
          <w:sz w:val="22"/>
          <w:szCs w:val="22"/>
        </w:rPr>
        <w:t xml:space="preserve">: Winnett &amp; Harding, Inscriptions from Fifty Safaitic Cairns – Die umfassende Dokumentation von fünfzig Steinhügeln, die als strukturelles Rückgrat der modernen safaitischen Epigraphik gilt.</w:t>
      </w:r>
    </w:p>
    <w:p>
      <w:pPr>
        <w:spacing w:after="120" w:line="300"/>
      </w:pPr>
      <w:r>
        <w:rPr>
          <w:rFonts w:ascii="Georgia" w:cs="Georgia" w:eastAsia="Georgia" w:hAnsi="Georgia"/>
          <w:b/>
          <w:sz w:val="22"/>
          <w:szCs w:val="22"/>
        </w:rPr>
        <w:t xml:space="preserve">C</w:t>
      </w:r>
      <w:r>
        <w:rPr>
          <w:rFonts w:ascii="Georgia" w:cs="Georgia" w:eastAsia="Georgia" w:hAnsi="Georgia"/>
          <w:sz w:val="22"/>
          <w:szCs w:val="22"/>
        </w:rPr>
        <w:t xml:space="preserve">: Corpus Inscriptionum Semiticarum, Pars V – die safaitischen Inschriften (u. a. Dussaud &amp; Macler; Ryckmans 1950).</w:t>
      </w:r>
    </w:p>
    <w:p>
      <w:pPr>
        <w:spacing w:after="120" w:line="300"/>
      </w:pPr>
      <w:r>
        <w:rPr>
          <w:rFonts w:ascii="Georgia" w:cs="Georgia" w:eastAsia="Georgia" w:hAnsi="Georgia"/>
          <w:b/>
          <w:sz w:val="22"/>
          <w:szCs w:val="22"/>
        </w:rPr>
        <w:t xml:space="preserve">SIJ</w:t>
      </w:r>
      <w:r>
        <w:rPr>
          <w:rFonts w:ascii="Georgia" w:cs="Georgia" w:eastAsia="Georgia" w:hAnsi="Georgia"/>
          <w:sz w:val="22"/>
          <w:szCs w:val="22"/>
        </w:rPr>
        <w:t xml:space="preserve">: Winnett, Safaitic Inscriptions from Jordan (Toronto 1957).</w:t>
      </w:r>
    </w:p>
    <w:p>
      <w:pPr>
        <w:spacing w:after="120" w:line="300"/>
      </w:pPr>
      <w:r>
        <w:rPr>
          <w:rFonts w:ascii="Georgia" w:cs="Georgia" w:eastAsia="Georgia" w:hAnsi="Georgia"/>
          <w:b/>
          <w:sz w:val="22"/>
          <w:szCs w:val="22"/>
        </w:rPr>
        <w:t xml:space="preserve">ISB</w:t>
      </w:r>
      <w:r>
        <w:rPr>
          <w:rFonts w:ascii="Georgia" w:cs="Georgia" w:eastAsia="Georgia" w:hAnsi="Georgia"/>
          <w:sz w:val="22"/>
          <w:szCs w:val="22"/>
        </w:rPr>
        <w:t xml:space="preserve">: Oxtoby, Some Inscriptions of the Safaitic Bedouin (New Haven 1968).</w:t>
      </w:r>
    </w:p>
    <w:p>
      <w:pPr>
        <w:spacing w:after="120" w:line="300"/>
      </w:pPr>
      <w:r>
        <w:rPr>
          <w:rFonts w:ascii="Georgia" w:cs="Georgia" w:eastAsia="Georgia" w:hAnsi="Georgia"/>
          <w:b/>
          <w:sz w:val="22"/>
          <w:szCs w:val="22"/>
        </w:rPr>
        <w:t xml:space="preserve">CSNS</w:t>
      </w:r>
      <w:r>
        <w:rPr>
          <w:rFonts w:ascii="Georgia" w:cs="Georgia" w:eastAsia="Georgia" w:hAnsi="Georgia"/>
          <w:sz w:val="22"/>
          <w:szCs w:val="22"/>
        </w:rPr>
        <w:t xml:space="preserve">: Clark, A Study of New Safaitic Inscriptions from Jordan (1979).</w:t>
      </w:r>
    </w:p>
    <w:p>
      <w:pPr>
        <w:spacing w:after="120" w:line="300"/>
      </w:pPr>
      <w:r>
        <w:rPr>
          <w:rFonts w:ascii="Georgia" w:cs="Georgia" w:eastAsia="Georgia" w:hAnsi="Georgia"/>
          <w:b/>
          <w:sz w:val="22"/>
          <w:szCs w:val="22"/>
        </w:rPr>
        <w:t xml:space="preserve">Rees</w:t>
      </w:r>
      <w:r>
        <w:rPr>
          <w:rFonts w:ascii="Georgia" w:cs="Georgia" w:eastAsia="Georgia" w:hAnsi="Georgia"/>
          <w:sz w:val="22"/>
          <w:szCs w:val="22"/>
        </w:rPr>
        <w:t xml:space="preserve">: L. W. B. Rees, frühe Aufnahmen aus der Ḥarrat al-Raǧil (1920er Jahre).</w:t>
      </w:r>
    </w:p>
    <w:p>
      <w:pPr>
        <w:spacing w:after="120" w:line="300"/>
      </w:pPr>
      <w:r>
        <w:rPr>
          <w:rFonts w:ascii="Georgia" w:cs="Georgia" w:eastAsia="Georgia" w:hAnsi="Georgia"/>
          <w:b/>
          <w:sz w:val="22"/>
          <w:szCs w:val="22"/>
        </w:rPr>
        <w:t xml:space="preserve">Is.L / Is.Mu</w:t>
      </w:r>
      <w:r>
        <w:rPr>
          <w:rFonts w:ascii="Georgia" w:cs="Georgia" w:eastAsia="Georgia" w:hAnsi="Georgia"/>
          <w:sz w:val="22"/>
          <w:szCs w:val="22"/>
        </w:rPr>
        <w:t xml:space="preserve">: Sammlungen aus al-ʿĪsāwī (Rif Dimašq); Editionsnachweis jeweils im OCIANA-Eintrag.</w:t>
      </w:r>
    </w:p>
    <w:p>
      <w:pPr>
        <w:spacing w:after="120" w:line="300"/>
      </w:pPr>
      <w:r>
        <w:rPr>
          <w:rFonts w:ascii="Georgia" w:cs="Georgia" w:eastAsia="Georgia" w:hAnsi="Georgia"/>
          <w:b/>
          <w:sz w:val="22"/>
          <w:szCs w:val="22"/>
        </w:rPr>
        <w:t xml:space="preserve">RQ.A / RQ.D</w:t>
      </w:r>
      <w:r>
        <w:rPr>
          <w:rFonts w:ascii="Georgia" w:cs="Georgia" w:eastAsia="Georgia" w:hAnsi="Georgia"/>
          <w:sz w:val="22"/>
          <w:szCs w:val="22"/>
        </w:rPr>
        <w:t xml:space="preserve">: Aufnahmen aus Riǧm Qaʿqūl (Rif Dimašq).</w:t>
      </w:r>
    </w:p>
    <w:p>
      <w:pPr>
        <w:spacing w:after="120" w:line="300"/>
      </w:pPr>
      <w:r>
        <w:rPr>
          <w:rFonts w:ascii="Georgia" w:cs="Georgia" w:eastAsia="Georgia" w:hAnsi="Georgia"/>
          <w:b/>
          <w:sz w:val="22"/>
          <w:szCs w:val="22"/>
        </w:rPr>
        <w:t xml:space="preserve">RSIS / ASWS / SSWS / AbSWS / RWQ</w:t>
      </w:r>
      <w:r>
        <w:rPr>
          <w:rFonts w:ascii="Georgia" w:cs="Georgia" w:eastAsia="Georgia" w:hAnsi="Georgia"/>
          <w:sz w:val="22"/>
          <w:szCs w:val="22"/>
        </w:rPr>
        <w:t xml:space="preserve">: Surveys der Wādī-Sārah- und Wādī-Salma-Region (Provinz Al-Mafraq).</w:t>
      </w:r>
    </w:p>
    <w:p>
      <w:pPr>
        <w:spacing w:after="120" w:line="300"/>
      </w:pPr>
      <w:r>
        <w:rPr>
          <w:rFonts w:ascii="Georgia" w:cs="Georgia" w:eastAsia="Georgia" w:hAnsi="Georgia"/>
          <w:b/>
          <w:sz w:val="22"/>
          <w:szCs w:val="22"/>
        </w:rPr>
        <w:t xml:space="preserve">AbaNS / HaNS / HaNSB / HNSD / HSNS</w:t>
      </w:r>
      <w:r>
        <w:rPr>
          <w:rFonts w:ascii="Georgia" w:cs="Georgia" w:eastAsia="Georgia" w:hAnsi="Georgia"/>
          <w:sz w:val="22"/>
          <w:szCs w:val="22"/>
        </w:rPr>
        <w:t xml:space="preserve">: nordjordanische Safaitic-Surveys.</w:t>
      </w:r>
    </w:p>
    <w:p>
      <w:pPr>
        <w:spacing w:after="120" w:line="300"/>
      </w:pPr>
      <w:r>
        <w:rPr>
          <w:rFonts w:ascii="Georgia" w:cs="Georgia" w:eastAsia="Georgia" w:hAnsi="Georgia"/>
          <w:b/>
          <w:sz w:val="22"/>
          <w:szCs w:val="22"/>
        </w:rPr>
        <w:t xml:space="preserve">AAEK / ASFF</w:t>
      </w:r>
      <w:r>
        <w:rPr>
          <w:rFonts w:ascii="Georgia" w:cs="Georgia" w:eastAsia="Georgia" w:hAnsi="Georgia"/>
          <w:sz w:val="22"/>
          <w:szCs w:val="22"/>
        </w:rPr>
        <w:t xml:space="preserve">: Surveys von Qāʿ Fahadah (Provinz Al-Mafraq).</w:t>
      </w:r>
    </w:p>
    <w:p>
      <w:pPr>
        <w:spacing w:after="120" w:line="300"/>
      </w:pPr>
      <w:r>
        <w:rPr>
          <w:rFonts w:ascii="Georgia" w:cs="Georgia" w:eastAsia="Georgia" w:hAnsi="Georgia"/>
          <w:b/>
          <w:sz w:val="22"/>
          <w:szCs w:val="22"/>
        </w:rPr>
        <w:t xml:space="preserve">JaS / KWQ / CEDS / GSSH / MKJS / BS / WAMS / BWM / ZN</w:t>
      </w:r>
      <w:r>
        <w:rPr>
          <w:rFonts w:ascii="Georgia" w:cs="Georgia" w:eastAsia="Georgia" w:hAnsi="Georgia"/>
          <w:sz w:val="22"/>
          <w:szCs w:val="22"/>
        </w:rPr>
        <w:t xml:space="preserve">: weitere OCIANA-Survey-Siglen aus der nordostjordanischen Ḥarrah; vollständiger Editionsnachweis jeweils im OCIANA-Eintrag.</w:t>
      </w:r>
    </w:p>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Die Toponyme wurden auf den spezifischsten benannten Ort normalisiert und ordnen sich zwei geografischen Zonen zu: der nordostjordanischen Ḥarrah und der südsyrischen Ṣafā.</w:t>
      </w:r>
    </w:p>
    <w:p>
      <w:pPr>
        <w:spacing w:after="120" w:line="300"/>
      </w:pPr>
      <w:r>
        <w:rPr>
          <w:rFonts w:ascii="Georgia" w:cs="Georgia" w:eastAsia="Georgia" w:hAnsi="Georgia"/>
          <w:b/>
          <w:sz w:val="22"/>
          <w:szCs w:val="22"/>
        </w:rPr>
        <w:t xml:space="preserve">Hani</w:t>
      </w:r>
      <w:r>
        <w:rPr>
          <w:rFonts w:ascii="Georgia" w:cs="Georgia" w:eastAsia="Georgia" w:hAnsi="Georgia"/>
          <w:sz w:val="22"/>
          <w:szCs w:val="22"/>
        </w:rPr>
        <w:t xml:space="preserve">: Steinhügel (Cairn) des Ḥāniʾ, nordostjordanische Ḥarrah; 1953 von G. L. Harding ausgegraben (Sammlung HCH).</w:t>
      </w:r>
    </w:p>
    <w:p>
      <w:pPr>
        <w:spacing w:after="120" w:line="300"/>
      </w:pPr>
      <w:r>
        <w:rPr>
          <w:rFonts w:ascii="Georgia" w:cs="Georgia" w:eastAsia="Georgia" w:hAnsi="Georgia"/>
          <w:b/>
          <w:sz w:val="22"/>
          <w:szCs w:val="22"/>
        </w:rPr>
        <w:t xml:space="preserve">Km 612</w:t>
      </w:r>
      <w:r>
        <w:rPr>
          <w:rFonts w:ascii="Georgia" w:cs="Georgia" w:eastAsia="Georgia" w:hAnsi="Georgia"/>
          <w:sz w:val="22"/>
          <w:szCs w:val="22"/>
        </w:rPr>
        <w:t xml:space="preserve">: Kilometerstein 612 (ca. 32 km westlich von Badana) an der alten Pipeline-Piste. Ein Survey-Fundpunkt in Nordostjordanien.</w:t>
      </w:r>
    </w:p>
    <w:p>
      <w:pPr>
        <w:spacing w:after="120" w:line="300"/>
      </w:pPr>
      <w:r>
        <w:rPr>
          <w:rFonts w:ascii="Georgia" w:cs="Georgia" w:eastAsia="Georgia" w:hAnsi="Georgia"/>
          <w:b/>
          <w:sz w:val="22"/>
          <w:szCs w:val="22"/>
        </w:rPr>
        <w:t xml:space="preserve">Wādī Salma / Wādī Sārah</w:t>
      </w:r>
      <w:r>
        <w:rPr>
          <w:rFonts w:ascii="Georgia" w:cs="Georgia" w:eastAsia="Georgia" w:hAnsi="Georgia"/>
          <w:sz w:val="22"/>
          <w:szCs w:val="22"/>
        </w:rPr>
        <w:t xml:space="preserve">: Trockentäler in der Provinz Al-Mafraq, Nordostjordanien.</w:t>
      </w:r>
    </w:p>
    <w:p>
      <w:pPr>
        <w:spacing w:after="120" w:line="300"/>
      </w:pPr>
      <w:r>
        <w:rPr>
          <w:rFonts w:ascii="Georgia" w:cs="Georgia" w:eastAsia="Georgia" w:hAnsi="Georgia"/>
          <w:b/>
          <w:sz w:val="22"/>
          <w:szCs w:val="22"/>
        </w:rPr>
        <w:t xml:space="preserve">Ḥarrat al-Raǧil</w:t>
      </w:r>
      <w:r>
        <w:rPr>
          <w:rFonts w:ascii="Georgia" w:cs="Georgia" w:eastAsia="Georgia" w:hAnsi="Georgia"/>
          <w:sz w:val="22"/>
          <w:szCs w:val="22"/>
        </w:rPr>
        <w:t xml:space="preserve">: Basaltwüste im Grenzgebiet von Nordostjordanien und dem nördlichen Saudi-Arabien.</w:t>
      </w:r>
    </w:p>
    <w:p>
      <w:pPr>
        <w:spacing w:after="120" w:line="300"/>
      </w:pPr>
      <w:r>
        <w:rPr>
          <w:rFonts w:ascii="Georgia" w:cs="Georgia" w:eastAsia="Georgia" w:hAnsi="Georgia"/>
          <w:b/>
          <w:sz w:val="22"/>
          <w:szCs w:val="22"/>
        </w:rPr>
        <w:t xml:space="preserve">Qāʿ Fahadah</w:t>
      </w:r>
      <w:r>
        <w:rPr>
          <w:rFonts w:ascii="Georgia" w:cs="Georgia" w:eastAsia="Georgia" w:hAnsi="Georgia"/>
          <w:sz w:val="22"/>
          <w:szCs w:val="22"/>
        </w:rPr>
        <w:t xml:space="preserve">: Fundplatz in der Provinz Al-Mafraq, Nordostjordanien (Ahnenreihen in Kapitel I).</w:t>
      </w:r>
    </w:p>
    <w:p>
      <w:pPr>
        <w:spacing w:after="120" w:line="300"/>
      </w:pPr>
      <w:r>
        <w:rPr>
          <w:rFonts w:ascii="Georgia" w:cs="Georgia" w:eastAsia="Georgia" w:hAnsi="Georgia"/>
          <w:b/>
          <w:sz w:val="22"/>
          <w:szCs w:val="22"/>
        </w:rPr>
        <w:t xml:space="preserve">Jathum / Jawa / Wādī Miqāṭ / Qāʿ al-Maḥfūr / Zimlet Nāṣir / bei Safawi / bei Ruwayshid</w:t>
      </w:r>
      <w:r>
        <w:rPr>
          <w:rFonts w:ascii="Georgia" w:cs="Georgia" w:eastAsia="Georgia" w:hAnsi="Georgia"/>
          <w:sz w:val="22"/>
          <w:szCs w:val="22"/>
        </w:rPr>
        <w:t xml:space="preserve">: weitere Fundpunkte und Surveys innerhalb der nordostjordanischen Basaltwüste.</w:t>
      </w:r>
    </w:p>
    <w:p>
      <w:pPr>
        <w:spacing w:after="120" w:line="300"/>
      </w:pPr>
      <w:r>
        <w:rPr>
          <w:rFonts w:ascii="Georgia" w:cs="Georgia" w:eastAsia="Georgia" w:hAnsi="Georgia"/>
          <w:b/>
          <w:sz w:val="22"/>
          <w:szCs w:val="22"/>
        </w:rPr>
        <w:t xml:space="preserve">Zalaf</w:t>
      </w:r>
      <w:r>
        <w:rPr>
          <w:rFonts w:ascii="Georgia" w:cs="Georgia" w:eastAsia="Georgia" w:hAnsi="Georgia"/>
          <w:sz w:val="22"/>
          <w:szCs w:val="22"/>
        </w:rPr>
        <w:t xml:space="preserve">: Region um Zalaf am Wādī al-Shām, südsyrische Ṣafā.</w:t>
      </w:r>
    </w:p>
    <w:p>
      <w:pPr>
        <w:spacing w:after="120" w:line="300"/>
      </w:pPr>
      <w:r>
        <w:rPr>
          <w:rFonts w:ascii="Georgia" w:cs="Georgia" w:eastAsia="Georgia" w:hAnsi="Georgia"/>
          <w:b/>
          <w:sz w:val="22"/>
          <w:szCs w:val="22"/>
        </w:rPr>
        <w:t xml:space="preserve">al-ʿĪsāwī / Riǧm Qaʿqūl</w:t>
      </w:r>
      <w:r>
        <w:rPr>
          <w:rFonts w:ascii="Georgia" w:cs="Georgia" w:eastAsia="Georgia" w:hAnsi="Georgia"/>
          <w:sz w:val="22"/>
          <w:szCs w:val="22"/>
        </w:rPr>
        <w:t xml:space="preserve">: Fundplätze im Gouvernement Rif Dimašq, innerhalb der südsyrischen Basaltlandschaft.</w:t>
      </w:r>
    </w:p>
    <w:p>
      <w:pPr>
        <w:spacing w:after="120" w:line="300"/>
      </w:pPr>
      <w:r>
        <w:rPr>
          <w:rFonts w:ascii="Georgia" w:cs="Georgia" w:eastAsia="Georgia" w:hAnsi="Georgia"/>
          <w:b/>
          <w:sz w:val="22"/>
          <w:szCs w:val="22"/>
        </w:rPr>
        <w:t xml:space="preserve">Ǧabal Says</w:t>
      </w:r>
      <w:r>
        <w:rPr>
          <w:rFonts w:ascii="Georgia" w:cs="Georgia" w:eastAsia="Georgia" w:hAnsi="Georgia"/>
          <w:sz w:val="22"/>
          <w:szCs w:val="22"/>
        </w:rPr>
        <w:t xml:space="preserve">: Basaltmassiv im Gouvernement Rif Dimašq, südsyrische Ṣafā.</w:t>
      </w:r>
    </w:p>
    <w:p>
      <w:pPr>
        <w:spacing w:after="120" w:line="300"/>
      </w:pPr>
      <w:r>
        <w:rPr>
          <w:rFonts w:ascii="Georgia" w:cs="Georgia" w:eastAsia="Georgia" w:hAnsi="Georgia"/>
          <w:b/>
          <w:sz w:val="22"/>
          <w:szCs w:val="22"/>
        </w:rPr>
        <w:t xml:space="preserve">Tall aḍ-Ḍabiʿ</w:t>
      </w:r>
      <w:r>
        <w:rPr>
          <w:rFonts w:ascii="Georgia" w:cs="Georgia" w:eastAsia="Georgia" w:hAnsi="Georgia"/>
          <w:sz w:val="22"/>
          <w:szCs w:val="22"/>
        </w:rPr>
        <w:t xml:space="preserve">: Tall aḍ-Ḍabiʿ am Wādī as-Samin, Süd-Syrien.</w:t>
      </w:r>
    </w:p>
    <w:p>
      <w:pPr>
        <w:spacing w:after="120" w:line="300"/>
      </w:pPr>
      <w:r>
        <w:rPr>
          <w:rFonts w:ascii="Georgia" w:cs="Georgia" w:eastAsia="Georgia" w:hAnsi="Georgia"/>
          <w:b/>
          <w:sz w:val="22"/>
          <w:szCs w:val="22"/>
        </w:rPr>
        <w:t xml:space="preserve">Al-Mrōshan / Khirbat al-Hubayrīyah / Khirbat al-Umbāšī</w:t>
      </w:r>
      <w:r>
        <w:rPr>
          <w:rFonts w:ascii="Georgia" w:cs="Georgia" w:eastAsia="Georgia" w:hAnsi="Georgia"/>
          <w:sz w:val="22"/>
          <w:szCs w:val="22"/>
        </w:rPr>
        <w:t xml:space="preserve">: Fundpunkte im Gouvernement Al-Suwaydā, Süd-Syrien.</w:t>
      </w:r>
    </w:p>
    <w:p>
      <w:pPr>
        <w:spacing w:after="120" w:line="300"/>
      </w:pPr>
      <w:r>
        <w:rPr>
          <w:rFonts w:ascii="Georgia" w:cs="Georgia" w:eastAsia="Georgia" w:hAnsi="Georgia"/>
          <w:b/>
          <w:sz w:val="22"/>
          <w:szCs w:val="22"/>
        </w:rPr>
        <w:t xml:space="preserve">Al-Mafraq</w:t>
      </w:r>
      <w:r>
        <w:rPr>
          <w:rFonts w:ascii="Georgia" w:cs="Georgia" w:eastAsia="Georgia" w:hAnsi="Georgia"/>
          <w:sz w:val="22"/>
          <w:szCs w:val="22"/>
        </w:rPr>
        <w:t xml:space="preserve">: Provinz Al-Mafraq (Nordostjordanien) – genauer Fundpunkt nicht angegeben.</w:t>
      </w:r>
    </w:p>
    <w:p>
      <w:pPr>
        <w:spacing w:after="120" w:line="300"/>
      </w:pPr>
      <w:r>
        <w:rPr>
          <w:rFonts w:ascii="Georgia" w:cs="Georgia" w:eastAsia="Georgia" w:hAnsi="Georgia"/>
          <w:b/>
          <w:sz w:val="22"/>
          <w:szCs w:val="22"/>
        </w:rPr>
        <w:t xml:space="preserve">Rif Dimašq / Al-Suwaydā</w:t>
      </w:r>
      <w:r>
        <w:rPr>
          <w:rFonts w:ascii="Georgia" w:cs="Georgia" w:eastAsia="Georgia" w:hAnsi="Georgia"/>
          <w:sz w:val="22"/>
          <w:szCs w:val="22"/>
        </w:rPr>
        <w:t xml:space="preserve">: südsyrische Gouvernements (Ṣafā) – genauer Fundpunkt nicht angegeben.</w:t>
      </w:r>
    </w:p>
    <w:p>
      <w:pPr>
        <w:spacing w:after="120" w:line="300"/>
      </w:pPr>
      <w:r>
        <w:rPr>
          <w:rFonts w:ascii="Georgia" w:cs="Georgia" w:eastAsia="Georgia" w:hAnsi="Georgia"/>
          <w:b/>
          <w:sz w:val="22"/>
          <w:szCs w:val="22"/>
        </w:rPr>
        <w:t xml:space="preserve">Jordanien (allg.) / Syrien (allg.)</w:t>
      </w:r>
      <w:r>
        <w:rPr>
          <w:rFonts w:ascii="Georgia" w:cs="Georgia" w:eastAsia="Georgia" w:hAnsi="Georgia"/>
          <w:sz w:val="22"/>
          <w:szCs w:val="22"/>
        </w:rPr>
        <w:t xml:space="preserve">: nur das Land überliefert (Ḥarrah bzw. Ṣafā).</w:t>
      </w:r>
    </w:p>
    <w:p>
      <w:pPr>
        <w:spacing w:after="120" w:line="300"/>
      </w:pPr>
      <w:r>
        <w:rPr>
          <w:rFonts w:ascii="Georgia" w:cs="Georgia" w:eastAsia="Georgia" w:hAnsi="Georgia"/>
          <w:b/>
          <w:sz w:val="22"/>
          <w:szCs w:val="22"/>
        </w:rPr>
        <w:t xml:space="preserve">Site 4 / Site 12 / Site 13 · Tell 5 · Tell al-ʿAbd · Cairn 9 / Cairn 10 · WH Cairn 7 · EDS 80-5 · Km 910</w:t>
      </w:r>
      <w:r>
        <w:rPr>
          <w:rFonts w:ascii="Georgia" w:cs="Georgia" w:eastAsia="Georgia" w:hAnsi="Georgia"/>
          <w:sz w:val="22"/>
          <w:szCs w:val="22"/>
        </w:rPr>
        <w:t xml:space="preserve">: interne Survey-Codes und Fundpunkte ohne näher benannten Ort (Nordostjordanien).</w:t>
      </w:r>
    </w:p>
    <w:p>
      <w:pPr>
        <w:spacing w:after="120" w:line="300"/>
      </w:pPr>
      <w:r>
        <w:rPr>
          <w:rFonts w:ascii="Georgia" w:cs="Georgia" w:eastAsia="Georgia" w:hAnsi="Georgia"/>
          <w:b/>
          <w:sz w:val="22"/>
          <w:szCs w:val="22"/>
        </w:rPr>
        <w:t xml:space="preserve">Fundort unbekannt</w:t>
      </w:r>
      <w:r>
        <w:rPr>
          <w:rFonts w:ascii="Georgia" w:cs="Georgia" w:eastAsia="Georgia" w:hAnsi="Georgia"/>
          <w:sz w:val="22"/>
          <w:szCs w:val="22"/>
        </w:rPr>
        <w:t xml:space="preserve">: keine Ortsangabe im OCIANA-Eintrag.</w:t>
      </w:r>
    </w:p>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