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 w:line="320" w:lineRule="auto"/>
      </w:pPr>
    </w:p>
    <w:p>
      <w:pPr>
        <w:spacing w:after="0" w:before="0" w:line="320" w:lineRule="auto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ГУБКИНСКИЙ БИЗНЕС-КЛУБ</w:t>
      </w:r>
    </w:p>
    <w:p>
      <w:pPr>
        <w:spacing w:after="0" w:before="80" w:line="320" w:lineRule="auto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ДИЗАЙН-СИСТЕМА</w:t>
      </w:r>
    </w:p>
    <w:p>
      <w:pPr>
        <w:spacing w:after="0" w:before="80" w:line="320" w:lineRule="auto"/>
        <w:jc w:val="center"/>
      </w:pPr>
      <w:r>
        <w:rPr>
          <w:rFonts w:ascii="Arial" w:cs="Arial" w:eastAsia="Arial" w:hAnsi="Arial"/>
          <w:b w:val="false"/>
          <w:bCs w:val="false"/>
          <w:color w:val="6B7E9B"/>
          <w:sz w:val="26"/>
          <w:szCs w:val="26"/>
        </w:rPr>
        <w:t xml:space="preserve">Полный визуальный язык сайта</w:t>
      </w:r>
    </w:p>
    <w:p>
      <w:pPr>
        <w:spacing w:after="0" w:before="0" w:line="320" w:lineRule="auto"/>
      </w:pPr>
    </w:p>
    <w:p>
      <w:pPr>
        <w:spacing w:after="0" w:before="0" w:line="320" w:lineRule="auto"/>
      </w:pP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0" w:before="0" w:line="320" w:lineRule="auto"/>
        <w:jc w:val="center"/>
      </w:pPr>
      <w:r>
        <w:rPr>
          <w:rFonts w:ascii="Arial" w:cs="Arial" w:eastAsia="Arial" w:hAnsi="Arial"/>
          <w:color w:val="6B7E9B"/>
          <w:sz w:val="18"/>
          <w:szCs w:val="18"/>
        </w:rPr>
        <w:t xml:space="preserve">Версия 1.0  ·  Апрель 2025  ·  GBC Design</w:t>
      </w:r>
    </w:p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0. ФИЛОСОФИЯ ДИЗАЙНА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О чём этот дизайн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Губкинский бизнес-клуб находится на пересечении двух миров: тяжёлой нефтегазовой индустрии с её властью, деньгами и масштабом — и студенческой энергии с её амбициями, скоростью и жаждой перемен. Дизайн должен удерживать оба полюса одновременно.</w:t>
      </w:r>
    </w:p>
    <w:p>
      <w:pPr>
        <w:spacing w:after="0" w:before="0" w:line="320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Премиальность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Тёмный фон, строгая типографика, никакого лишнего. Клуб выглядит как место, куда хочется попасть.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Энергия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Синий акцент — живой, электрический. Он не даёт дизайну стать мёртвым корпоративом.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Ценность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Золото появляется ровно там, где нужно подчеркнуть главное: цифры, CTA, философия.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Принадлежность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Шрифты и детали говорят на одном языке с отраслью — без попытки выглядеть как стартап.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Один вопрос</w:t>
      </w:r>
    </w:p>
    <w:p>
      <w:pPr>
        <w:spacing w:after="60" w:before="60" w:line="320" w:lineRule="auto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Когда человек открывает сайт, он должен за три секунды почувствовать: «Это серьёзно. Это про меня. Я хочу быть здесь.»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Дизайн-система существует, чтобы это ощущение не нарушалось ни на одной странице — ни в карточке, ни в кнопке, ни в форме.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Баланс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70%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Премиальная строгость — тёмный фон, сдержанные цвета, сильная типографика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30%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Молодая энергия — живые акценты, анимации, прямой разговорный тон</w:t>
            </w:r>
          </w:p>
        </w:tc>
      </w:tr>
    </w:tbl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1. ЦВЕТОВАЯ СИСТЕМА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Пять слоёв тёмных поверхностей создают глубину без теней. Синий и золотой — два акцентных полюса. Первый — энергия и технологии, второй — ценность и нефть.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Поверхности (Surfaces)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B1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62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Void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#070B14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Фон всего сайта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Surface 0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#0A0F1E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Основной фон секций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Surface 1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#0F1629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Карточки и панели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04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84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Surface 2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#162040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Hover-состояния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Border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#1A2845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Линии и разделители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Синяя шкала — Энергия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Blue Dim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#1E3A5F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Фон нажатых состояний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Blue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#2563EB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Основной синий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Blue Vivid ★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#3B82F6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Главный акцент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A5F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C5FD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Blue Bright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#60A5FA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Hover-акцент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Blue Pale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#93C5FD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Disabled состояния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Золотая шкала — Ценность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350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Gold Deep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#78350F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Тёмный акцент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Gold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#D97706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Стандартный золотой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Gold Vivid ★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#F59E0B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Главный CTA, цифры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BF24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68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Gold Bright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#FBBF24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Hover кнопок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Gold Pale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#FDE68A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Светлые акценты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Текстовая шкала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A3C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557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#F1F5FF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Заголовки и ключевой текст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#8BA3C7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Описания, подзаголовки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Muted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#3D5578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Метки, подписи, placeholder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0A5F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Accent</w:t>
            </w:r>
          </w:p>
          <w:p>
            <w:r>
              <w:rPr>
                <w:rFonts w:ascii="Courier New" w:cs="Courier New" w:eastAsia="Courier New" w:hAnsi="Courier New"/>
                <w:color w:val="6B7E9B"/>
                <w:sz w:val="16"/>
                <w:szCs w:val="16"/>
              </w:rPr>
              <w:t xml:space="preserve">#60A5FA</w:t>
            </w:r>
          </w:p>
          <w:p>
            <w:r>
              <w:rPr>
                <w:rFonts w:ascii="Arial" w:cs="Arial" w:eastAsia="Arial" w:hAnsi="Arial"/>
                <w:color w:val="6B7E9B"/>
                <w:sz w:val="16"/>
                <w:szCs w:val="16"/>
              </w:rPr>
              <w:t xml:space="preserve">Синий текст-ссылки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Правила применения цветов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Фон страницы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#070B14 — Void. Всегда.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Фон карточек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#0F1629 — Surface 1. Стандарт.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Hover карточек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#162040 — Surface 2. +transform -4px.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Граница по умолчанию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#1A2845. 1px solid.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Граница при hover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rgba(59,130,246,0.25) — синяя подсветка.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Главный CTA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Фон #F59E0B, текст #000000. Только для одного действия на экране.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Вторичный CTA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Прозрачный фон, border #3B82F6, текст #3B82F6.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Цифры в статистике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Градиент: от #F59E0B до #FBBF24. Только в StatsBar.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Синее свечение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box-shadow: 0 0 40px rgba(59,130,246,0.35). Только при hover и финале анимации.</w:t>
            </w:r>
          </w:p>
        </w:tc>
      </w:tr>
    </w:tbl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2. ТИПОГРАФИКА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Два шрифта. Один говорит масштабом — другой читаемостью. Вместе они создают визуальную иерархию, при которой пользователь мгновенно понимает, что важно.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Шрифтовая пара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Display-шрифт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Bebas Neue — широкий, уверенный, промышленный. Для заголовков, цифр, навигации. Подключать через Google Fonts.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Body-шрифт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Geologica weight 300–600 — современный, тонкий, удобный для чтения. Заменяет Inter, Roboto и другие generic-шрифты.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Mono-шрифт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JetBrains Mono — для меток, токенов, кода, тегов категорий. Добавляет технический характер.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Масштабная шкала (Desktop)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Параметры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Display / H1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Bebas Neue · 96–110px · leading 0.92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Hero-заголовок. Максимум один на страницу.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Heading / H2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Bebas Neue · 48–64px · leading 0.95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Заголовки секций главной страницы.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Heading / H3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Bebas Neue · 32px · leading 1.0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Заголовки блоков внутри секции.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Body Large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Geologica 300 · 18px · leading 1.7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Подзаголовки, описания секций.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Geologica 300 · 16px · leading 1.8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Основной текст карточек.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Geologica 400 · 14px · leading 1.6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Текст в карточках событий, описания спикеров.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Caption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JetBrains Mono · 11px · uppercase · ls 0.12em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Теги категорий, метки, подписи к цифрам.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Bebas Neue · 80px · leading 1.0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Цифры в StatsBar. Золотой градиент.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JetBrains Mono · 9–10px · uppercase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Метки карточек, типы событий, даты.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Масштабная шкала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Desktop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96–110px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36–48px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48–64px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32px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H3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Body Large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15px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Caption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10px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56px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Трекинг (letter-spacing)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tight · -0.02em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Крупные заголовки H1 при очень большом размере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normal · 0em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Основной текст, body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wide · 0.04–0.06em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Стандарт для Bebas Neue в заголовках H2–H3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wider · 0.10–0.15em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Mono-метки, uppercase-теги, кнопки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widest · 0.20em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Микроподписи, года, коды</w:t>
            </w:r>
          </w:p>
        </w:tc>
      </w:tr>
    </w:tbl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3. ПРОСТРАНСТВО И СЕТКА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Шкала отступов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Токен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--space-1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Иконка + текст, внутренние зазоры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--space-2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Между элементами внутри компонента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--space-3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Gap между карточками-бейджами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--space-4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 кнопок по вертикали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--space-6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Gap в сетке карточек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--space-8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 внутри карточки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--space-12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48px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 формы, крупных блоков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--space-16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64px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Отступы между подсекциями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--space-20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 секций (mobile)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--space-32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128px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Padding секций (desktop)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Сетка контента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Max-width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1280px — центрирован по горизонтали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Padding desktop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80px горизонтально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Padding mobile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24px горизонтально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Gap в grid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24px между всеми колонками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Колонок (desktop)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— гибкая сетка через CSS Grid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Колонок (tablet)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Колонок (mobile)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Breakpoint mobile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640px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Breakpoint tablet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640–1023px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Breakpoint desktop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1024px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Радиусы скругления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--radius-sm · 6px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Кнопки, бейджи, теги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--radius-md · 12px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Поля ввода, маленькие карточки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--radius-lg · 20px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Стандартные карточки (Format, Glass, Speaker)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--radius-xl · 28px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Крупные блоки (StatsBar, форма вступления)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--radius-full · 9999px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Бейджи индустрий, чипы, аватары</w:t>
            </w:r>
          </w:p>
        </w:tc>
      </w:tr>
    </w:tbl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4. КОМПОНЕНТЫ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120" w:before="320" w:line="320" w:lineRule="auto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Навигационная шапка (Header)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Высота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68px. Фиксированная (position: sticky, top: 0).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Фон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rgba(10,15,30,0.90) + backdrop-filter: blur(20px). При скролле появляется border-bottom 1px #1A2845.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Логотип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Слева. Квадратный маркер 32×32px с буквой «Г» (синий градиент) + текст «ГУБКИН БК» (Bebas Neue 20px).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Ссылки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Geologica 13px, цвет #8BA3C7. Hover → #F1F5FF + rgba(255,255,255,0.04) фон. Активная ссылка — #60A5FA.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CTA кнопка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«Вступить» — справа, Gold, btn-sm. Единственная золотая кнопка в шапке.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Mobile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Hamburger-иконка справа. Меню — full-screen overlay фон #070B14. Ссылки 32px, появляются stagger-анимацией.</w:t>
            </w:r>
          </w:p>
        </w:tc>
      </w:tr>
    </w:tbl>
    <w:p>
      <w:pPr>
        <w:spacing w:after="0" w:before="0" w:line="320" w:lineRule="auto"/>
      </w:pPr>
    </w:p>
    <w:p>
      <w:pPr>
        <w:spacing w:after="120" w:before="320" w:line="320" w:lineRule="auto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Кнопки (Buttons)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Primary — Gold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Главное действие на экране. Максимум одна primary-кнопка на видимой области.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Внешний вид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Фон #F59E0B, текст #000000, font-weight 600, border-radius 6px.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Padding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Small: 9px 20px · Default: 14px 32px · Large: 18px 40px.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Hover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Фон #FBBF24 + translateY(-2px) + box-shadow 0 8px 30px rgba(245,158,11,0.35).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Active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translateY(0) — возврат на место.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Примеры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«Вступить в клуб», «Отправить заявку», «Зарегистрироваться».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Secondary — Ghost Blue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Вторичное действие рядом с Primary. Не перетягивает внимание.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Внешний вид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Прозрачный фон, border 1px #3B82F6, текст #3B82F6.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Hover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Фон rgba(59,130,246,0.10) + translateY(-2px) + слабое синее свечение.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Примеры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«Посмотреть спикеров», «Ближайшее событие →».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Tertiary — Text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Тихое действие. Не требует рамки или фона.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Внешний вид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Только текст, цвет #8BA3C7. Hover → #F1F5FF. Стрелка справа.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Анимация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Стрелка «→» при hover: translateX(+5px), ease-spring.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Примеры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«Все мероприятия →», «Смотреть всех спикеров →».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Бейджи индустрий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Индустрия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Цвет текста и границы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Фон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🛢️ Нефть и газ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#F59E0B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rgba(245,158,11,0.06)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🏗️ Строительство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#3B82F6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rgba(59,130,246,0.06)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🏦 Банкинг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#60A5FA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rgba(96,165,250,0.06)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💻 Технологии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#34D399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rgba(52,211,153,0.06)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Бейджи типов событий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Цвет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 текста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Лекция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#60A5FA (синий)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● Лекция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Бизнес-игра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#FBBF24 (золото)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● Бизнес-игра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Закрытая встреча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#A78BFA (фиолет)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● Закрытая встреча</w:t>
            </w:r>
          </w:p>
        </w:tc>
      </w:tr>
    </w:tbl>
    <w:p>
      <w:r>
        <w:br w:type="page"/>
      </w:r>
    </w:p>
    <w:p>
      <w:pPr>
        <w:spacing w:after="120" w:before="320" w:line="320" w:lineRule="auto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4.3 Карточки (Cards)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Format Card — Форматы клуба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Фон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#0F1629, border 1px #1A2845, border-left 3px transparent.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Hover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border-left-color → #3B82F6, background → #162040, translateX(+6px).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Номер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Декоративный — Bebas Neue 80px, color #1A2845 (почти невидимый), position: absolute, right 24px.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Метка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JetBrains Mono 10px uppercase, цвет #3B82F6.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Bebas Neue 28px, цвет #F1F5FF.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Текст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Geologica 300 14px, цвет #8BA3C7, line-height 1.8.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Glass Card — Стеклянная карточка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Фон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rgba(15,22,41,0.70) + backdrop-filter: blur(20px).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Граница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1px solid rgba(255,255,255,0.05).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Hover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border-color → rgba(59,130,246,0.20) + translateY(-3px) + синее свечение.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Применение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Три направления (Нефть / Стройка / Банкинг). Identity-карточки на главной.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Speaker Card — Карточка спикера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aspect-ratio: 3/4. Адаптируется по ширине колонки.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Аватар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Инициалы буквами на синем gradient-фоне если нет фото. При наличии — фото с object-fit: cover.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Hover аватара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scale(1.05) — фото чуть увеличивается.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Overlay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Gradient снизу: transparent → rgba(7,11,20,0.95). Содержит тег индустрии, имя (Bebas Neue 22px), должность.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Hover overlay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translateY(0) — нормальная позиция вместо translateY(8px) по умолчанию.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Если нет фото: синий круг с инициалами, font Bebas Neue 64px.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Event Card — Карточка события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Макет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CSS Grid: auto (дата) + 1fr (описание). Gap 24px.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Блок даты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Ширина 64px. Фон #162040, border #1A2845, radius 12px. День: Bebas Neue 32px золотой. Месяц: mono 9px uppercase.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Hover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border-color → rgba(59,130,246,0.25), background → #162040, translateY(-3px).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Порядок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Бейдж типа → Заголовок → Метадата (время · место).</w:t>
            </w:r>
          </w:p>
        </w:tc>
      </w:tr>
    </w:tbl>
    <w:p>
      <w:r>
        <w:br w:type="page"/>
      </w:r>
    </w:p>
    <w:p>
      <w:pPr>
        <w:spacing w:after="120" w:before="320" w:line="320" w:lineRule="auto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4.4 StatsBar — Блок метрик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Структура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равные колонки в CSS Grid. Border: все стороны 1px #1A2845. Radius 28px.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Разделители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border-right 1px #1A2845 между колонками. Последняя без границы.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Цифра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Bebas Neue 80px. Градиент: от #F59E0B до #FBBF24, -webkit-background-clip: text.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JetBrains Mono 10px uppercase, letter-spacing 0.12em, цвет #3D5578.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Hover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→ #162040 + bottom pseudo-element: 2px gradient (синий→золото), появляется.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Анимация цифр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count-up анимация при попадании в viewport: от 0 до значения за 1.5 сек, easing ease-out.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Мобильный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grid-template-columns: 1fr 1fr (2×2 сетка).</w:t>
            </w:r>
          </w:p>
        </w:tc>
      </w:tr>
    </w:tbl>
    <w:p>
      <w:pPr>
        <w:spacing w:after="0" w:before="0" w:line="320" w:lineRule="auto"/>
      </w:pPr>
    </w:p>
    <w:p>
      <w:pPr>
        <w:spacing w:after="120" w:before="320" w:line="320" w:lineRule="auto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4.5 Circular Flow — Три направления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Концепция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Три круга в треугольнике. Нефть вверху, Стройка справа, Банкинг слева. Соединены анимированными SVG-стрелками.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Стрелки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SVG path + stroke-dasharray: "6 4" + animate attributeName="stroke-dashoffset" — эффект движущегося пунктира.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Круг Нефть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rgba(217,119,6,0.10), border rgba(245,158,11,0.40), shadow 0 0 30px rgba(245,158,11,0.20).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Круг Стройка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rgba(37,99,235,0.10), border rgba(59,130,246,0.40), shadow синий.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Круг Банкинг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rgba(96,165,250,0.10), border rgba(147,197,253,0.40), shadow бледно-синий.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Hover круга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scale(1.08–1.10) + усиление свечения.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Скорость стрелок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секунды per loop. Каждая стрелка со сдвигом begin: 0s / 0.7s / 1.4s.</w:t>
            </w:r>
          </w:p>
        </w:tc>
      </w:tr>
    </w:tbl>
    <w:p>
      <w:pPr>
        <w:spacing w:after="0" w:before="0" w:line="320" w:lineRule="auto"/>
      </w:pPr>
    </w:p>
    <w:p>
      <w:pPr>
        <w:spacing w:after="120" w:before="320" w:line="320" w:lineRule="auto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4.6 Форма вступления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Обёртка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#0F1629, border 1px #1A2845, border-radius 28px, padding 48px.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Поля ввода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#070B14, border 1px #1A2845, border-radius 12px, padding 14px 16px.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border-color → #3B82F6 + box-shadow 0 0 0 3px rgba(59,130,246,0.12) + background → #162040.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Цвет #3D5578.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Label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JetBrains Mono 10px uppercase, letter-spacing 0.10em, цвет #3D5578. Над каждым полем.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Checkbox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Кастомный: 20×20px box, border #1A2845. Checked → фон #3B82F6, ✓ белый.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Select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Кастомная стрелка через background-image SVG.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Submit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Полная ширина (width: 100%). Btn-primary, большой (padding 16px). Единственный Gold на экране.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Success-экран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После submit: форма исчезает, появляется текст + кнопка «Подписаться на канал →».</w:t>
            </w:r>
          </w:p>
        </w:tc>
      </w:tr>
    </w:tbl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5. АНИМАЦИИ И ДВИЖЕНИЕ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Анимации — не декорация. Каждая объясняет изменение состояния или ведёт взгляд пользователя. Лишних анимаций нет.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Кривые движения (Easing)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Кривая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ease-smooth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cubic-bezier(0.4, 0, 0.2, 1)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Карточки, переходы, focus-состояния. Стандарт.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ease-spring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cubic-bezier(0.34, 1.56, 0.64, 1)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Иконки, бейджи, pop-up элементы. Лёгкий отскок.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ease-out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cubic-bezier(0, 0, 0.2, 1)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Появление секций. Быстрый старт, плавный конец.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Длительности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Токен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fast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150ms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Hover цвета, border, opacity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300ms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Карточки, кнопки, модалки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slow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600ms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Появление секций при скролле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xslow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1000ms+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Canvas-анимация логотипа, hero-заголовок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Ключевые анимации сайта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Анимация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 H1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Stagger slideUp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Каждая строка появляется с задержкой 150ms. Начало: opacity:0 + translateY(24px).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Секции при скролле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fadeIn + slideUp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При попадании в viewport: opacity 0→1 + translateY(20px→0). Duration 600ms.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Карточки (stagger)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Staggered fadeIn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Каждая следующая карточка появляется +100ms позже предыдущей.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Цифры StatsBar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Count-up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От 0 до значения за 1500ms, easing ease-out. Запускается при скролле.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Canvas-логотип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Scroll-driven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150 WebP-кадров, управляемых прогрессом скролла через requestAnimationFrame.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Hover карточек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translateY(-4px)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Base 300ms ease-smooth. Возврат на active: translateY(0).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Стрелка btn-tertiary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translateX(+5px)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При hover на кнопке-ссылке. ease-spring.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Кольца логотипа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rotate()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Внешнее — 20s по часовой, внутреннее — 14s против часовой. Бесконечно.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SVG стрелки flow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stroke-dashoffset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Анимированный пунктир, 2s, каждая стрелка смещена на 0.7s.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Header на скролле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border-bottom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Появляется через CSS transition 300ms когда window.scrollY &gt; 0.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Canvas scroll-анимация логотипа (техника)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Концепция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Логотип «заполняется нефтью» при скролле — покадровая анимация из 150 WebP-файлов, синхронизированная с прогрессом скролла.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Структура DOM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Контейнер 300vh (взлётная полоса) + вложенный sticky-элемент 100vh с canvas внутри.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Загрузка кадров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Батчами по 20. Прелоадер с прогресс-баром. Анимация доступна только после полной загрузки.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Расчёт прогресса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progress = -container.getBoundingClientRect().top / (container.height - window.innerHeight). Зажат 0–1.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Рисование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Только через requestAnimationFrame. В scroll-обработчике — только вычисление номера кадра (passive: true).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Свечение в конце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При progress &gt; 0.95: filter drop-shadow(0 0 40px rgba(59,130,246,0.8)). Эффект «заполнения».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Desktop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Canvas справа от текста Hero, 50vw × 100vh, position: absolute right: 0.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Mobile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Canvas снизу, 120px → раскрывается до 100vw при скролле.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Маска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mask-image: radial-gradient(ellipse 70% 65% at 52% 50%, black 45%, transparent 80%) — мягкие края.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Fallback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Если видео не добавлено — синий круг с буквой «Г» через Canvas API. Комментарий TODO.</w:t>
            </w:r>
          </w:p>
        </w:tc>
      </w:tr>
    </w:tbl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6. СТРУКТУРА СТРАНИЦ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Маршрутизация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Страница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Главная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Длинный лендинг. Все ключевые блоки.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/about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О клубе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Миссия + философия логотипа + команда.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/speakers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Спикеры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Сетка с фильтрами по индустриям.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/events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Мероприятия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Список событий с фильтрами.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/events/[slug]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Детальная страница мероприятия.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/news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Новости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Три колонки: нефть / стройка / банкинг.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/join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Вступить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Полная форма вступления.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/biz-dating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Бизнес-дейтинг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Лендинг-переход к Telegram-боту.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/admin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Админ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Закрытая панель. Middleware-защита паролем.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Порядок секций на главной странице (/)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Секция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 (300vh)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Захват внимания. Canvas-анимация + текст.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Философия логотипа (3 карточки)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Эмоциональная связь с брендом.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О нас (2 абзаца)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Миссия. Краткая версия.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StatsBar (4 цифры)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Социальное доказательство.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Три направления (Circular Flow)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УТП: почему именно эти три сферы.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Форматы клуба (3 карточки)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Что именно делает клуб.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Preview спикеров (6 карточек)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Статус через имена. Кнопка к полной странице.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Preview мероприятий (3 карточки)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FOMO через ближайшие события.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Последние новости (3 колонки)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Доказательство активности.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Бизнес-дейтинг CTA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Переход к боту.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Telegram CTA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Подписка на канал.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Форма (сокращённая)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Снижение барьера входа.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Footer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Контакты, соцсети.</w:t>
            </w:r>
          </w:p>
        </w:tc>
      </w:tr>
    </w:tbl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7. ФИЛОСОФИЯ ЛОГОТИПА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60" w:before="60" w:line="320" w:lineRule="auto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Это не просто буква «Г». За формой — история.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Элемент 1 — Буква «Г»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Первая буква слова «Губкинский». Университет, основанный в 1930 году. Место, где обучались лидеры нефтяной отрасли страны на протяжении почти ста лет. Буква — это не просто инициал, это якорь идентичности.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Элемент 2 — След нефти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Форма буквы — это разлитая нефть, застывшая в стекле. Капля, которая попала на поверхность и осталась там навсегда. Момент превращения сырья в ценность — именно в этот момент рождается бизнес.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Элемент 3 — Стекло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Материал, в котором застыл след — стекло. Прозрачность и чистота. Твёрдость без агрессии. Современный материал, который хранит что-то древнее. Противоречие, которое и есть суть клуба: высокотехнологичный взгляд на ресурсную индустрию.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Цвета логотипа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Синий (#3B82F6)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Энергия, технологии, нефть как природная сила, глубина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Тёмно-синий фон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Глубина, закрытость, премиальность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Стеклянный блеск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Прозрачность намерений, современность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Текст для блока «Философия логотипа» на сайте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84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Заголовок:</w:t>
            </w:r>
          </w:p>
        </w:tc>
      </w:tr>
    </w:tbl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НЕ ПРОСТО БУКВА. ИСТОРИЯ, ЗАСТЫВШАЯ В СТЕКЛЕ.</w:t>
      </w:r>
    </w:p>
    <w:p>
      <w:pPr>
        <w:spacing w:after="0" w:before="0" w:line="320" w:lineRule="auto"/>
      </w:pP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Г — это первая буква университета, которому 90+ лет. Губкинский. Место, где нефтяная отрасль страны получает своих лидеров. Но в нашем логотипе — больше, чем инициал.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Это след нефти. Капля, разлившаяся и застывшая в стекле. Момент, когда сырьё превращается в ценность — точно так же, как студент превращается в предпринимателя.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Стекло — это прозрачность и чистота намерений. Синий — цвет энергии, технологий и глубины. Форма — незамкнутая, потому что мы всегда в движении.</w:t>
      </w:r>
    </w:p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8. ВИЗУАЛЬНЫЕ МАТЕРИАЛЫ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Принципы подбора изображений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Все изображения — с overlay rgba(7,11,20,0.65) поверх для читаемости текста. Без overlay картинки «выбиваются» из тёмного дизайна.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Промпты для AI-генерации (Midjourney / DALL-E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Нефть и газ (Hero bg)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"Premium oil field at golden hour, ultra-realistic, cinematic lighting, deep blue sky, metallic pipelines, atmospheric haze, no people, photo-realistic, 8k resolution, dark moody palette, horizontal composition"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Строительство (split)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"Half luxury residential skyscraper completed, half under construction, seamless center transition, Moscow skyline, night photography, golden windows, blue cranes, ultra-realistic CGI render, horizontal"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Банкинг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"Abstract premium finance visualization, golden coins flowing like liquid oil, dark navy background, floating glass spheres with financial data, luxury aesthetic, cinematic, no text, no people"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Команда-placeholder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"Professional portrait silhouette, dark studio background, dramatic side lighting, corporate mood, high contrast, no face details, dark blue tones"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Размеры изображений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 background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2560×1440px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WebP, качество 85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Speaker card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480×640px (3:4)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WebP, качество 80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News preview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800×450px (16:9)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WebP, качество 80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Event card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400×300px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WebP, качество 75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Logo frames (canvas)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1640×1264px × 150 кадров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WebP, качество 80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Logo static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400×400px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PNG с прозрачным фоном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Team photo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600×600px (1:1)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WebP, качество 80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OG Image (соцсети)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1200×630px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PNG или JPG</w:t>
            </w:r>
          </w:p>
        </w:tc>
      </w:tr>
    </w:tbl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9. СПЕЦИАЛЬНЫЕ ЭФФЕКТЫ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Noise overlay (шум)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Псевдослучайный зернистый текстурный слой поверх всей страницы.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Зачем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Разбивает «пластиковость» тёмного фона, добавляет органическую текстуру, характерную для дорогих сайтов.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Реализация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body::before { position: fixed; inset: 0; background-image: SVG feTurbulence noise; opacity: 0.025; pointer-events: none; z-index: 9999; }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Интенсивность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0.025 — едва заметно. Не переходить за 0.04, иначе начнёт «грязнить».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Фоновая сетка (Grid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Тонкая координатная сетка поверх фона Hero-секции.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Реализация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background-image: linear-gradient(rgba(59,130,246,0.03) 1px, transparent 1px), linear-gradient(90deg, rgba(59,130,246,0.03) 1px, transparent 1px); background-size: 60px 60px;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Зачем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Создаёт ощущение технологичного пространства, отсылает к чертежам и схемам.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Радиальный свет (Glow)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Невидимые gradient-пятна на фоне Hero-секции.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Синий свет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radial-gradient(ellipse 60% 50% at 70% 50%, rgba(59,130,246,0.07) 0%, transparent 70%) — справа, где логотип.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Золотой свет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radial-gradient(ellipse 40% 40% at 20% 80%, rgba(245,158,11,0.04) 0%, transparent 60%) — снизу-слева.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Зачем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Имитирует реальное освещение, создаёт глубину без теней.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Glassmorphism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background: rgba(15,22,41,0.70) + backdrop-filter: blur(20px) + border: 1px solid rgba(255,255,255,0.05)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Применение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Glass Cards, Header (прозрачный с blur), Telegram CTA, мобильное меню.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Ограничение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 применять ко всем карточкам подряд — эффект теряется. Только там, где за карточкой есть визуальный контент.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Маска логотипа (Canvas mask)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CSS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mask-image: radial-gradient(ellipse 70% 65% at 52% 50%, black 45%, transparent 80%)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Эффект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Мягкое растворение краёв canvas. Логотип не выглядит «вырезанным».</w:t>
            </w:r>
          </w:p>
        </w:tc>
      </w:tr>
    </w:tbl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10. ЧЕГО НЕ ДЕЛАТЬ — АНТИПАТТЕРНЫ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Цвета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использовать белый фон. Никогда. Весь сайт — тёмный.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использовать фиолетовые градиенты — это признак «AI-дизайна».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смешивать синий и золотой как основные на одном элементе — только один акцент на компонент.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использовать серый текст светлее #8BA3C7 на тёмном фоне — плохой контраст, нечитаемо.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Типографика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использовать Inter, Roboto, Arial как display-шрифт — это generic.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использовать font-weight 400 для Geologica в body — слишком жирно для тёмного фона, нужен 300.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использовать text-transform: uppercase для body-текста — только для mono-меток.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смешивать Bebas Neue и Geologica в одной строке — только раздельно по ролям.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Анимации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рисовать в scroll-обработчике — только requestAnimationFrame.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загружать все 150 кадров canvas одновременно — только батчами.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делать анимации длиннее 600ms для интерфейсных переходов — пользователь ждёт.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анимировать каждый элемент — только значимые переходы.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Кнопки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делать две Gold-кнопки рядом — Gold только одна на экране.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делать кнопки с border-radius &gt; 10px в шапке — выглядит несерьёзно.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использовать outline-кнопки для main CTA — это secondary-стиль.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Компоненты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использовать shadcn, MUI, Ant Design — только кастомный Tailwind.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хранить данные форм в localStorage.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делать структуру команды пирамидой — только SVG-дерево с bezier-кривыми.</w:t>
      </w:r>
    </w:p>
    <w:p>
      <w:pPr>
        <w:pStyle w:val="ListParagraph"/>
        <w:numPr>
          <w:ilvl w:val="0"/>
          <w:numId w:val="2"/>
        </w:numPr>
        <w:spacing w:after="40" w:before="40" w:line="320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НЕ делать мероприятия и спикеров на главной полным списком — только preview (6 карточек + кнопка).</w:t>
      </w:r>
    </w:p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11. ГОТОВЫЕ ТЕКСТЫ ДЛЯ ВСЕХ БЛОКОВ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Hero — H1 (вариант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2"/>
                <w:szCs w:val="22"/>
              </w:rPr>
              <w:t xml:space="preserve">СООБЩЕСТВО ТЁМНЫХ НЕДР И БОЛЬШИХ ИДЕЙ</w:t>
            </w:r>
          </w:p>
        </w:tc>
      </w:tr>
    </w:tbl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Подзаголовок: «Бизнес-клуб РГУ нефти и газа. Лекции топ-менеджеров, закрытые встречи, бизнес-игры — всё в одной среде.»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Hero — H1 (вариант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2"/>
                <w:szCs w:val="22"/>
              </w:rPr>
              <w:t xml:space="preserve">СООБЩЕСТВО ТЕХ, КТО СТРОИТ ЭНЕРГЕТИКУ БУДУЩЕГО</w:t>
            </w:r>
          </w:p>
        </w:tc>
      </w:tr>
    </w:tbl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Подзаголовок: «Губкинский бизнес-клуб — место, где студенты и выпускники РГУ нефти и газа встречают людей, которые двигают отрасль.»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О нас (главная, короткая версия)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«Мы начали в 2025 году. Не потому что так надо — а потому что пора.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 Губкинском учатся люди, которые войдут в большую энергетику. Но между аудиторией и реальным бизнесом — пропасть. Мы строим мост.»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Форматы — три блока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Лекции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«Предприниматели и топ-менеджеры нефтегазовой сферы приходят в Губкинский, чтобы рассказать то, чего нет в учебниках. Реальный опыт. Живой диалог.»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Закрытые встречи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«Камерный формат для участников клуба. Без записи. Честный разговор о бизнесе, деньгах, карьере и ошибках с теми, кто прошёл этот путь.»</w:t>
            </w:r>
          </w:p>
        </w:tc>
      </w:tr>
      <w:tr>
        <w:tc>
          <w:tcPr>
            <w:tcW w:type="dxa" w:w="3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E9B"/>
                <w:sz w:val="18"/>
                <w:szCs w:val="18"/>
              </w:rPr>
              <w:t xml:space="preserve">Бизнес-игры</w:t>
            </w:r>
          </w:p>
        </w:tc>
        <w:tc>
          <w:tcPr>
            <w:tcW w:type="dxa" w:w="61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«CashFlow, стратегические симуляции, кейс-турниры. Ты принимаешь решения как собственник — и видишь, к чему они приводят. Без теории.»</w:t>
            </w:r>
          </w:p>
        </w:tc>
      </w:tr>
    </w:tbl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Три направления — заголовок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«Три отрасли. Один замкнутый круг. Нефтянка, стройка и банкинг — взаимозависимый денежный поток, который формирует российскую экономику.»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Почему Губкинский — ключевой блок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«Нефтегаз — самая влиятельная отрасль российской экономики. Люди, которые её строят, заканчивали Губкинский. Они знают, как пахнет аудитория на Ленинском. Мы — их место встречи.»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Бизнес-дейтинг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«Найди партнёра, инвестора или ментора среди тех, кто мыслит так же, как ты. Внутри клуба — предприниматели, инженеры с идеями, финансисты и те, кто ищет партнёра для первого проекта.»</w:t>
      </w:r>
    </w:p>
    <w:p>
      <w:pPr>
        <w:spacing w:after="0" w:before="0" w:line="320" w:lineRule="auto"/>
      </w:pPr>
    </w:p>
    <w:p>
      <w:pPr>
        <w:spacing w:after="80" w:before="240" w:line="320" w:lineRule="auto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Вступление (форма)</w:t>
      </w:r>
    </w:p>
    <w:p>
      <w:pPr>
        <w:spacing w:after="60" w:before="60" w:line="320" w:lineRule="auto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«Заявка рассматривается в течение 3 дней. Бесплатно. Без обязательств на первом этапе. Только для студентов и выпускников РГУ нефти и газа.»</w:t>
      </w:r>
    </w:p>
    <w:p>
      <w:r>
        <w:br w:type="page"/>
      </w:r>
    </w:p>
    <w:p>
      <w:pPr>
        <w:spacing w:after="160" w:before="400" w:line="320" w:lineRule="auto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12. ТЕХНИЧЕСКИЙ СТЕК</w:t>
      </w: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0" w:line="320" w:lineRule="auto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A28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Зачем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SSR, ISR, API routes в одном проекте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Язык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Типизация компонентов и API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Стили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Утилитарные классы + CSS переменные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Анимации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Scroll-анимации секций, stagger эффекты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Заявки, события, спикеры, новости, команда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Resend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Подтверждения заявок, уведомления команде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Хостинг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Автодеплой из GitHub, edge network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Аналитика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Yandex.Metrica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Трафик, воронка, цели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Шрифты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Bebas Neue + Geologica + JetBrains Mono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Иконки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Линейные, тонкие, современные</w:t>
            </w:r>
          </w:p>
        </w:tc>
      </w:tr>
      <w:tr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Canvas</w:t>
            </w:r>
          </w:p>
        </w:tc>
        <w:tc>
          <w:tcPr>
            <w:tcW w:type="dxa" w:w="3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Native Browser Canvas API</w:t>
            </w:r>
          </w:p>
        </w:tc>
        <w:tc>
          <w:tcPr>
            <w:tcW w:type="dxa" w:w="33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Покадровая анимация логотипа</w:t>
            </w:r>
          </w:p>
        </w:tc>
      </w:tr>
    </w:tbl>
    <w:p>
      <w:pPr>
        <w:spacing w:after="0" w:before="0" w:line="320" w:lineRule="auto"/>
      </w:pPr>
    </w:p>
    <w:p>
      <w:pPr>
        <w:spacing w:after="0" w:before="0" w:line="320" w:lineRule="auto"/>
      </w:pPr>
    </w:p>
    <w:p>
      <w:pPr>
        <w:pBdr>
          <w:bottom w:val="single" w:color="D5DDE8" w:sz="1" w:space="8"/>
        </w:pBdr>
        <w:spacing w:after="160" w:before="160" w:line="320" w:lineRule="auto"/>
      </w:pPr>
    </w:p>
    <w:p>
      <w:pPr>
        <w:spacing w:after="0" w:before="80" w:line="320" w:lineRule="auto"/>
        <w:jc w:val="center"/>
      </w:pPr>
      <w:r>
        <w:rPr>
          <w:rFonts w:ascii="Arial" w:cs="Arial" w:eastAsia="Arial" w:hAnsi="Arial"/>
          <w:color w:val="6B7E9B"/>
          <w:sz w:val="16"/>
          <w:szCs w:val="16"/>
        </w:rPr>
        <w:t xml:space="preserve">ГУБКИНСКИЙ БИЗНЕС-КЛУБ · DESIGN SYSTEM v1.0</w:t>
      </w:r>
    </w:p>
    <w:p>
      <w:pPr>
        <w:spacing w:after="0" w:before="20" w:line="320" w:lineRule="auto"/>
        <w:jc w:val="center"/>
      </w:pPr>
      <w:r>
        <w:rPr>
          <w:rFonts w:ascii="Courier New" w:cs="Courier New" w:eastAsia="Courier New" w:hAnsi="Courier New"/>
          <w:color w:val="1A2845"/>
          <w:sz w:val="14"/>
          <w:szCs w:val="14"/>
        </w:rPr>
        <w:t xml:space="preserve">Синий #3B82F6 · Золото #F59E0B · Void #070B14 · Bebas Neue + Geologica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2026-04-22T22:29:59.667Z</dcterms:created>
  <dcterms:modified xsi:type="dcterms:W3CDTF">2026-04-22T22:29:59.669Z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