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2744"/>
          <w:sz w:val="56"/>
          <w:szCs w:val="56"/>
        </w:rPr>
        <w:t xml:space="preserve">CX KONNECT</w:t>
      </w:r>
    </w:p>
    <w:p>
      <w:pPr>
        <w:spacing w:after="200"/>
        <w:jc w:val="center"/>
      </w:pPr>
      <w:r>
        <w:rPr>
          <w:rFonts w:ascii="Arial" w:cs="Arial" w:eastAsia="Arial" w:hAnsi="Arial"/>
          <w:color w:val="2A9D8F"/>
          <w:sz w:val="28"/>
          <w:szCs w:val="28"/>
        </w:rPr>
        <w:t xml:space="preserve">Website Copy &amp; Content Guide</w:t>
      </w:r>
    </w:p>
    <w:p>
      <w:pPr>
        <w:spacing w:after="600"/>
        <w:jc w:val="center"/>
      </w:pPr>
      <w:r>
        <w:rPr>
          <w:rFonts w:ascii="Arial" w:cs="Arial" w:eastAsia="Arial" w:hAnsi="Arial"/>
          <w:color w:val="666666"/>
          <w:sz w:val="22"/>
          <w:szCs w:val="22"/>
        </w:rPr>
        <w:t xml:space="preserve">Prepared for Stefanie Thorlichen</w:t>
      </w:r>
    </w:p>
    <w:p>
      <w:pPr>
        <w:jc w:val="center"/>
      </w:pPr>
      <w:r>
        <w:rPr>
          <w:rFonts w:ascii="Arial" w:cs="Arial" w:eastAsia="Arial" w:hAnsi="Arial"/>
          <w:color w:val="999999"/>
          <w:sz w:val="20"/>
          <w:szCs w:val="20"/>
        </w:rPr>
        <w:t xml:space="preserve">April 2026</w:t>
      </w:r>
    </w:p>
    <w:p>
      <w:r>
        <w:br w:type="page"/>
      </w:r>
    </w:p>
    <w:p>
      <w:pPr>
        <w:pStyle w:val="Heading1"/>
      </w:pPr>
      <w:r>
        <w:t xml:space="preserve">Site Navigation</w:t>
      </w:r>
    </w:p>
    <w:p>
      <w:pPr>
        <w:spacing w:after="200"/>
      </w:pPr>
      <w:r>
        <w:t xml:space="preserve">The top navigation bar includes five links: About, Framework, Services, The Book, and Contact. The logo reads </w:t>
      </w:r>
    </w:p>
    <w:p>
      <w:pPr>
        <w:spacing w:after="100"/>
      </w:pPr>
      <w:r>
        <w:rPr>
          <w:b/>
          <w:bCs/>
          <w:color w:val="1A2744"/>
        </w:rPr>
        <w:t xml:space="preserve">CX Konnect</w:t>
      </w:r>
      <w:r>
        <w:t xml:space="preserve"> (with “Konnect” in teal accent color)</w:t>
      </w:r>
    </w:p>
    <w:p>
      <w:pPr>
        <w:pStyle w:val="Heading1"/>
      </w:pPr>
      <w:r>
        <w:t xml:space="preserve">Section 1: Hero</w:t>
      </w:r>
    </w:p>
    <w:p>
      <w:pPr>
        <w:pStyle w:val="Heading3"/>
      </w:pPr>
      <w:r>
        <w:t xml:space="preserve">Tag Line</w:t>
      </w:r>
    </w:p>
    <w:p>
      <w:pPr>
        <w:spacing w:after="100"/>
      </w:pPr>
      <w:r>
        <w:t xml:space="preserve">CX Strategy &amp; Consulting</w:t>
      </w:r>
    </w:p>
    <w:p>
      <w:pPr>
        <w:pStyle w:val="Heading3"/>
      </w:pPr>
      <w:r>
        <w:t xml:space="preserve">Headline</w:t>
      </w:r>
    </w:p>
    <w:p>
      <w:pPr>
        <w:spacing w:after="100"/>
      </w:pPr>
      <w:r>
        <w:rPr>
          <w:b/>
          <w:bCs/>
          <w:color w:val="1A2744"/>
          <w:sz w:val="28"/>
          <w:szCs w:val="28"/>
        </w:rPr>
        <w:t xml:space="preserve">Turn Customer Experience Into Customer Outcomes</w:t>
      </w:r>
    </w:p>
    <w:p>
      <w:pPr>
        <w:pStyle w:val="Heading3"/>
      </w:pPr>
      <w:r>
        <w:t xml:space="preserve">Subheadline</w:t>
      </w:r>
    </w:p>
    <w:p>
      <w:pPr>
        <w:spacing w:after="100"/>
      </w:pPr>
      <w:r>
        <w:t xml:space="preserve">CX Konnect helps organizations move from reactive, siloed customer management to a connected, outcome-driven system where every function, metric, and AI investment delivers measurable results.</w:t>
      </w:r>
    </w:p>
    <w:p>
      <w:pPr>
        <w:pStyle w:val="Heading3"/>
      </w:pPr>
      <w:r>
        <w:t xml:space="preserve">Call-to-Action Buttons</w:t>
      </w:r>
    </w:p>
    <w:p>
      <w:pPr>
        <w:pStyle w:val="ListParagraph"/>
        <w:numPr>
          <w:ilvl w:val="0"/>
          <w:numId w:val="2"/>
        </w:numPr>
      </w:pPr>
      <w:r>
        <w:rPr>
          <w:b/>
          <w:bCs/>
        </w:rPr>
        <w:t xml:space="preserve">Primary: </w:t>
      </w:r>
      <w:r>
        <w:t xml:space="preserve">Start a Conversation (links to contact form)</w:t>
      </w:r>
    </w:p>
    <w:p>
      <w:pPr>
        <w:pStyle w:val="ListParagraph"/>
        <w:numPr>
          <w:ilvl w:val="0"/>
          <w:numId w:val="2"/>
        </w:numPr>
        <w:spacing w:after="200"/>
      </w:pPr>
      <w:r>
        <w:rPr>
          <w:b/>
          <w:bCs/>
        </w:rPr>
        <w:t xml:space="preserve">Secondary: </w:t>
      </w:r>
      <w:r>
        <w:t xml:space="preserve">Explore Services (links to services section)</w:t>
      </w:r>
    </w:p>
    <w:p>
      <w:r>
        <w:br w:type="page"/>
      </w:r>
    </w:p>
    <w:p>
      <w:pPr>
        <w:pStyle w:val="Heading1"/>
      </w:pPr>
      <w:r>
        <w:t xml:space="preserve">Section 2: About Stefanie Thorlichen</w:t>
      </w:r>
    </w:p>
    <w:p>
      <w:pPr>
        <w:pStyle w:val="Heading3"/>
      </w:pPr>
      <w:r>
        <w:t xml:space="preserve">Bio Copy</w:t>
      </w:r>
    </w:p>
    <w:p>
      <w:pPr>
        <w:spacing w:after="160"/>
      </w:pPr>
      <w:r>
        <w:t xml:space="preserve">From pediatric nursing in Germany to leading global CX transformation at scale, I have spent 30 years learning one thing: the most important thing you can do for another person is make them feel genuinely seen.</w:t>
      </w:r>
    </w:p>
    <w:p>
      <w:pPr>
        <w:spacing w:after="160"/>
      </w:pPr>
      <w:r>
        <w:t xml:space="preserve">I have built, led, and redesigned customer experience organizations across telecommunications, technology, healthcare, and professional services — spanning 30 countries, thousands of team members, and millions of customer relationships.</w:t>
      </w:r>
    </w:p>
    <w:p>
      <w:pPr>
        <w:spacing w:after="200"/>
      </w:pPr>
      <w:r>
        <w:t xml:space="preserve">CX Konnect is the product of everything I have learned about what actually works: not feelings-first CX, but outcome-driven systems where every team, every metric, and every AI investment is aligned around the customer’s success.</w:t>
      </w:r>
    </w:p>
    <w:p>
      <w:pPr>
        <w:pStyle w:val="Heading3"/>
      </w:pPr>
      <w:r>
        <w:t xml:space="preserve">Stats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A9D8F" w:val="clear"/>
            <w:tcMar>
              <w:top w:type="dxa" w:w="100"/>
              <w:left w:type="dxa" w:w="120"/>
              <w:bottom w:type="dxa" w:w="100"/>
              <w:right w:type="dxa" w:w="120"/>
            </w:tcMar>
          </w:tcPr>
          <w:p>
            <w:pPr>
              <w:jc w:val="center"/>
            </w:pPr>
            <w:r>
              <w:rPr>
                <w:b/>
                <w:bCs/>
                <w:color w:val="FFFFFF"/>
                <w:sz w:val="36"/>
                <w:szCs w:val="36"/>
              </w:rPr>
              <w:t xml:space="preserve">30+</w:t>
            </w:r>
          </w:p>
        </w:tc>
        <w:tc>
          <w:tcPr>
            <w:tcW w:type="dxa" w:w="2340"/>
            <w:tcBorders>
              <w:top w:val="single" w:color="CCCCCC" w:sz="1"/>
              <w:left w:val="single" w:color="CCCCCC" w:sz="1"/>
              <w:bottom w:val="single" w:color="CCCCCC" w:sz="1"/>
              <w:right w:val="single" w:color="CCCCCC" w:sz="1"/>
            </w:tcBorders>
            <w:shd w:fill="2A9D8F" w:val="clear"/>
            <w:tcMar>
              <w:top w:type="dxa" w:w="100"/>
              <w:left w:type="dxa" w:w="120"/>
              <w:bottom w:type="dxa" w:w="100"/>
              <w:right w:type="dxa" w:w="120"/>
            </w:tcMar>
          </w:tcPr>
          <w:p>
            <w:pPr>
              <w:jc w:val="center"/>
            </w:pPr>
            <w:r>
              <w:rPr>
                <w:b/>
                <w:bCs/>
                <w:color w:val="FFFFFF"/>
                <w:sz w:val="36"/>
                <w:szCs w:val="36"/>
              </w:rPr>
              <w:t xml:space="preserve">30</w:t>
            </w:r>
          </w:p>
        </w:tc>
        <w:tc>
          <w:tcPr>
            <w:tcW w:type="dxa" w:w="2340"/>
            <w:tcBorders>
              <w:top w:val="single" w:color="CCCCCC" w:sz="1"/>
              <w:left w:val="single" w:color="CCCCCC" w:sz="1"/>
              <w:bottom w:val="single" w:color="CCCCCC" w:sz="1"/>
              <w:right w:val="single" w:color="CCCCCC" w:sz="1"/>
            </w:tcBorders>
            <w:shd w:fill="2A9D8F" w:val="clear"/>
            <w:tcMar>
              <w:top w:type="dxa" w:w="100"/>
              <w:left w:type="dxa" w:w="120"/>
              <w:bottom w:type="dxa" w:w="100"/>
              <w:right w:type="dxa" w:w="120"/>
            </w:tcMar>
          </w:tcPr>
          <w:p>
            <w:pPr>
              <w:jc w:val="center"/>
            </w:pPr>
            <w:r>
              <w:rPr>
                <w:b/>
                <w:bCs/>
                <w:color w:val="FFFFFF"/>
                <w:sz w:val="36"/>
                <w:szCs w:val="36"/>
              </w:rPr>
              <w:t xml:space="preserve">13</w:t>
            </w:r>
          </w:p>
        </w:tc>
        <w:tc>
          <w:tcPr>
            <w:tcW w:type="dxa" w:w="2340"/>
            <w:tcBorders>
              <w:top w:val="single" w:color="CCCCCC" w:sz="1"/>
              <w:left w:val="single" w:color="CCCCCC" w:sz="1"/>
              <w:bottom w:val="single" w:color="CCCCCC" w:sz="1"/>
              <w:right w:val="single" w:color="CCCCCC" w:sz="1"/>
            </w:tcBorders>
            <w:shd w:fill="2A9D8F" w:val="clear"/>
            <w:tcMar>
              <w:top w:type="dxa" w:w="100"/>
              <w:left w:type="dxa" w:w="120"/>
              <w:bottom w:type="dxa" w:w="100"/>
              <w:right w:type="dxa" w:w="120"/>
            </w:tcMar>
          </w:tcPr>
          <w:p>
            <w:pPr>
              <w:jc w:val="center"/>
            </w:pPr>
            <w:r>
              <w:rPr>
                <w:b/>
                <w:bCs/>
                <w:color w:val="FFFFFF"/>
                <w:sz w:val="36"/>
                <w:szCs w:val="36"/>
              </w:rPr>
              <w:t xml:space="preserve">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666666"/>
                <w:sz w:val="18"/>
                <w:szCs w:val="18"/>
              </w:rPr>
              <w:t xml:space="preserve">Years in CX Leadership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666666"/>
                <w:sz w:val="18"/>
                <w:szCs w:val="18"/>
              </w:rPr>
              <w:t xml:space="preserve">Countries Served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666666"/>
                <w:sz w:val="18"/>
                <w:szCs w:val="18"/>
              </w:rPr>
              <w:t xml:space="preserve">Chapter Framework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666666"/>
                <w:sz w:val="18"/>
                <w:szCs w:val="18"/>
              </w:rPr>
              <w:t xml:space="preserve">Industry Verticals</w:t>
            </w:r>
          </w:p>
        </w:tc>
      </w:tr>
    </w:tbl>
    <w:p>
      <w:pPr>
        <w:spacing w:after="100" w:before="200"/>
      </w:pPr>
      <w:r>
        <w:rPr>
          <w:b/>
          <w:bCs/>
          <w:i/>
          <w:iCs/>
        </w:rPr>
        <w:t xml:space="preserve">Note: </w:t>
      </w:r>
      <w:r>
        <w:rPr>
          <w:i/>
          <w:iCs/>
          <w:color w:val="999999"/>
        </w:rPr>
        <w:t xml:space="preserve">Include a professional headshot in the right column of this section.</w:t>
      </w:r>
    </w:p>
    <w:p>
      <w:r>
        <w:br w:type="page"/>
      </w:r>
    </w:p>
    <w:p>
      <w:pPr>
        <w:pStyle w:val="Heading1"/>
      </w:pPr>
      <w:r>
        <w:t xml:space="preserve">Section 3: The CX Konnect Framework</w:t>
      </w:r>
    </w:p>
    <w:p>
      <w:pPr>
        <w:pStyle w:val="Heading3"/>
      </w:pPr>
      <w:r>
        <w:t xml:space="preserve">Section Quote</w:t>
      </w:r>
    </w:p>
    <w:p>
      <w:pPr>
        <w:pBdr>
          <w:left w:val="single" w:color="2A9D8F" w:sz="6" w:space="8"/>
        </w:pBdr>
        <w:spacing w:after="200"/>
      </w:pPr>
      <w:r>
        <w:rPr>
          <w:i/>
          <w:iCs/>
          <w:color w:val="1A2744"/>
          <w:sz w:val="24"/>
          <w:szCs w:val="24"/>
        </w:rPr>
        <w:t xml:space="preserve">Customers do not experience your org chart. They experience the gaps in it.</w:t>
      </w:r>
    </w:p>
    <w:p>
      <w:pPr>
        <w:pStyle w:val="Heading3"/>
      </w:pPr>
      <w:r>
        <w:t xml:space="preserve">Six Framework Pillars</w:t>
      </w:r>
    </w:p>
    <w:p>
      <w:pPr>
        <w:spacing w:before="200"/>
      </w:pPr>
      <w:r>
        <w:rPr>
          <w:b/>
          <w:bCs/>
          <w:color w:val="1A2744"/>
          <w:sz w:val="24"/>
          <w:szCs w:val="24"/>
        </w:rPr>
        <w:t xml:space="preserve">Outcome-Driven</w:t>
      </w:r>
    </w:p>
    <w:p>
      <w:pPr>
        <w:spacing w:after="120"/>
      </w:pPr>
      <w:r>
        <w:t xml:space="preserve">Shift from measuring activity and sentiment to measuring whether customers achieve the results they signed up for. Every metric, milestone, and handoff is anchored to a tangible customer outcome.</w:t>
      </w:r>
    </w:p>
    <w:p>
      <w:pPr>
        <w:spacing w:before="200"/>
      </w:pPr>
      <w:r>
        <w:rPr>
          <w:b/>
          <w:bCs/>
          <w:color w:val="1A2744"/>
          <w:sz w:val="24"/>
          <w:szCs w:val="24"/>
        </w:rPr>
        <w:t xml:space="preserve">Cross-Functionally Connected</w:t>
      </w:r>
    </w:p>
    <w:p>
      <w:pPr>
        <w:spacing w:after="120"/>
      </w:pPr>
      <w:r>
        <w:t xml:space="preserve">Break the silos between Sales, Support, Success, Product, Education, and Partners. Build shared accountability structures where every team understands its role in the customer’s journey.</w:t>
      </w:r>
    </w:p>
    <w:p>
      <w:pPr>
        <w:spacing w:before="200"/>
      </w:pPr>
      <w:r>
        <w:rPr>
          <w:b/>
          <w:bCs/>
          <w:color w:val="1A2744"/>
          <w:sz w:val="24"/>
          <w:szCs w:val="24"/>
        </w:rPr>
        <w:t xml:space="preserve">AI-Amplified</w:t>
      </w:r>
    </w:p>
    <w:p>
      <w:pPr>
        <w:spacing w:after="120"/>
      </w:pPr>
      <w:r>
        <w:t xml:space="preserve">Deploy AI as the intelligence layer, not just a tool. Health scoring, predictive signals, automated playbooks, and conversation intelligence working as a connected system alongside your people.</w:t>
      </w:r>
    </w:p>
    <w:p>
      <w:pPr>
        <w:spacing w:before="200"/>
      </w:pPr>
      <w:r>
        <w:rPr>
          <w:b/>
          <w:bCs/>
          <w:color w:val="1A2744"/>
          <w:sz w:val="24"/>
          <w:szCs w:val="24"/>
        </w:rPr>
        <w:t xml:space="preserve">Culture-First Change</w:t>
      </w:r>
    </w:p>
    <w:p>
      <w:pPr>
        <w:spacing w:after="120"/>
      </w:pPr>
      <w:r>
        <w:t xml:space="preserve">No framework succeeds without the culture to sustain it. CX Konnect includes deliberate culture architecture: hiring, rituals, leadership behaviors, and the human engine that makes everything else work.</w:t>
      </w:r>
    </w:p>
    <w:p>
      <w:pPr>
        <w:spacing w:before="200"/>
      </w:pPr>
      <w:r>
        <w:rPr>
          <w:b/>
          <w:bCs/>
          <w:color w:val="1A2744"/>
          <w:sz w:val="24"/>
          <w:szCs w:val="24"/>
        </w:rPr>
        <w:t xml:space="preserve">Incrementally Scalable</w:t>
      </w:r>
    </w:p>
    <w:p>
      <w:pPr>
        <w:spacing w:after="120"/>
      </w:pPr>
      <w:r>
        <w:t xml:space="preserve">Start with one journey, one segment, and one proof point. The framework is designed to scale from a contained pilot to full organizational transformation without the risk of doing too much too soon.</w:t>
      </w:r>
    </w:p>
    <w:p>
      <w:pPr>
        <w:spacing w:before="200"/>
      </w:pPr>
      <w:r>
        <w:rPr>
          <w:b/>
          <w:bCs/>
          <w:color w:val="1A2744"/>
          <w:sz w:val="24"/>
          <w:szCs w:val="24"/>
        </w:rPr>
        <w:t xml:space="preserve">Metrics That Matter</w:t>
      </w:r>
    </w:p>
    <w:p>
      <w:pPr>
        <w:spacing w:after="120"/>
      </w:pPr>
      <w:r>
        <w:t xml:space="preserve">Replace vanity dashboards with metrics that reveal customer progress. Outcome attainment rates, time-to-value, expansion readiness, and AI confidence scores that drive real intervention.</w:t>
      </w:r>
    </w:p>
    <w:p>
      <w:r>
        <w:br w:type="page"/>
      </w:r>
    </w:p>
    <w:p>
      <w:pPr>
        <w:pStyle w:val="Heading1"/>
      </w:pPr>
      <w:r>
        <w:t xml:space="preserve">Section 4: Consulting Services</w:t>
      </w:r>
    </w:p>
    <w:p>
      <w:pPr>
        <w:pStyle w:val="Heading3"/>
      </w:pPr>
      <w:r>
        <w:t xml:space="preserve">Section Intro</w:t>
      </w:r>
    </w:p>
    <w:p>
      <w:pPr>
        <w:spacing w:after="200"/>
      </w:pPr>
      <w:r>
        <w:t xml:space="preserve">Every engagement is tailored to your organization’s maturity, industry, and goals. These are the core ways I help CX leaders move from reaction to connection.</w:t>
      </w:r>
    </w:p>
    <w:p>
      <w:pPr>
        <w:spacing w:before="240"/>
      </w:pPr>
      <w:r>
        <w:rPr>
          <w:b/>
          <w:bCs/>
          <w:color w:val="1A2744"/>
          <w:sz w:val="26"/>
          <w:szCs w:val="26"/>
        </w:rPr>
        <w:t xml:space="preserve">CX Maturity Assessment</w:t>
      </w:r>
    </w:p>
    <w:p>
      <w:pPr>
        <w:spacing w:after="60"/>
      </w:pPr>
      <w:r>
        <w:t xml:space="preserve">A structured diagnostic that evaluates your organization across six dimensions: outcome alignment, cross-functional connectivity, metric quality, AI readiness, culture health, and scaling capability. You receive a detailed scorecard with prioritized recommendations.</w:t>
      </w:r>
    </w:p>
    <w:p>
      <w:pPr>
        <w:spacing w:after="160"/>
      </w:pPr>
      <w:r>
        <w:rPr>
          <w:color w:val="2A9D8F"/>
          <w:sz w:val="18"/>
          <w:szCs w:val="18"/>
        </w:rPr>
        <w:t xml:space="preserve">2–4 weeks • Executive readout • Prioritized roadmap</w:t>
      </w:r>
    </w:p>
    <w:p>
      <w:pPr>
        <w:spacing w:before="240"/>
      </w:pPr>
      <w:r>
        <w:rPr>
          <w:b/>
          <w:bCs/>
          <w:color w:val="1A2744"/>
          <w:sz w:val="26"/>
          <w:szCs w:val="26"/>
        </w:rPr>
        <w:t xml:space="preserve">CX Konnect Implementation</w:t>
      </w:r>
    </w:p>
    <w:p>
      <w:pPr>
        <w:spacing w:after="60"/>
      </w:pPr>
      <w:r>
        <w:t xml:space="preserve">Hands-on consulting to redesign your customer journey around outcomes, rebuild cross-functional handoffs, align your metrics, and create the operating model that makes it sustainable. From pilot to scale.</w:t>
      </w:r>
    </w:p>
    <w:p>
      <w:pPr>
        <w:spacing w:after="160"/>
      </w:pPr>
      <w:r>
        <w:rPr>
          <w:color w:val="2A9D8F"/>
          <w:sz w:val="18"/>
          <w:szCs w:val="18"/>
        </w:rPr>
        <w:t xml:space="preserve">3–6 months • Pilot-to-scale approach • Full framework deployment</w:t>
      </w:r>
    </w:p>
    <w:p>
      <w:pPr>
        <w:spacing w:before="240"/>
      </w:pPr>
      <w:r>
        <w:rPr>
          <w:b/>
          <w:bCs/>
          <w:color w:val="1A2744"/>
          <w:sz w:val="26"/>
          <w:szCs w:val="26"/>
        </w:rPr>
        <w:t xml:space="preserve">AI-Enabled CX Org Design</w:t>
      </w:r>
    </w:p>
    <w:p>
      <w:pPr>
        <w:spacing w:after="60"/>
      </w:pPr>
      <w:r>
        <w:t xml:space="preserve">Restructure your CX organization for the AI era. Define the three-layer architecture, create new roles like CX Intelligence Analyst and Digital Success Manager, redesign span of control, and build your AI adoption roadmap.</w:t>
      </w:r>
    </w:p>
    <w:p>
      <w:pPr>
        <w:spacing w:after="160"/>
      </w:pPr>
      <w:r>
        <w:rPr>
          <w:color w:val="2A9D8F"/>
          <w:sz w:val="18"/>
          <w:szCs w:val="18"/>
        </w:rPr>
        <w:t xml:space="preserve">Custom scope • Org design blueprint • Change management plan</w:t>
      </w:r>
    </w:p>
    <w:p>
      <w:pPr>
        <w:spacing w:before="240"/>
      </w:pPr>
      <w:r>
        <w:rPr>
          <w:b/>
          <w:bCs/>
          <w:color w:val="1A2744"/>
          <w:sz w:val="26"/>
          <w:szCs w:val="26"/>
        </w:rPr>
        <w:t xml:space="preserve">Leadership Workshops</w:t>
      </w:r>
    </w:p>
    <w:p>
      <w:pPr>
        <w:spacing w:after="60"/>
      </w:pPr>
      <w:r>
        <w:t xml:space="preserve">Modular, facilitated workshops built directly from the CX Konnect Leadership Playbook. Self-assessments, team exercises, and action plans designed for CX leaders and their teams. Available as half-day, full-day, or multi-session programs.</w:t>
      </w:r>
    </w:p>
    <w:p>
      <w:pPr>
        <w:spacing w:after="160"/>
      </w:pPr>
      <w:r>
        <w:rPr>
          <w:color w:val="2A9D8F"/>
          <w:sz w:val="18"/>
          <w:szCs w:val="18"/>
        </w:rPr>
        <w:t xml:space="preserve">Half-day to multi-day • In-person or virtual • Custom modules</w:t>
      </w:r>
    </w:p>
    <w:p>
      <w:pPr>
        <w:spacing w:before="240"/>
      </w:pPr>
      <w:r>
        <w:rPr>
          <w:b/>
          <w:bCs/>
          <w:color w:val="1A2744"/>
          <w:sz w:val="26"/>
          <w:szCs w:val="26"/>
        </w:rPr>
        <w:t xml:space="preserve">Keynote Speaking</w:t>
      </w:r>
    </w:p>
    <w:p>
      <w:pPr>
        <w:spacing w:after="60"/>
      </w:pPr>
      <w:r>
        <w:t xml:space="preserve">Engaging, story-driven keynotes on the future of customer experience, the shift from feelings to outcomes, AI in CX, and how to build the culture that makes transformation stick. Available for conferences, executive offsites, and corporate events.</w:t>
      </w:r>
    </w:p>
    <w:p>
      <w:pPr>
        <w:spacing w:after="160"/>
      </w:pPr>
      <w:r>
        <w:rPr>
          <w:color w:val="2A9D8F"/>
          <w:sz w:val="18"/>
          <w:szCs w:val="18"/>
        </w:rPr>
        <w:t xml:space="preserve">30–60 minutes • Conferences &amp; events • Custom topics</w:t>
      </w:r>
    </w:p>
    <w:p>
      <w:pPr>
        <w:spacing w:before="240"/>
      </w:pPr>
      <w:r>
        <w:rPr>
          <w:b/>
          <w:bCs/>
          <w:color w:val="1A2744"/>
          <w:sz w:val="26"/>
          <w:szCs w:val="26"/>
        </w:rPr>
        <w:t xml:space="preserve">Executive Advisory</w:t>
      </w:r>
    </w:p>
    <w:p>
      <w:pPr>
        <w:spacing w:after="60"/>
      </w:pPr>
      <w:r>
        <w:t xml:space="preserve">Ongoing strategic counsel for CX leaders navigating organizational change, AI integration, board-level reporting, and the daily realities of building an outcome-driven CX function. A trusted thinking partner, not just an advisor.</w:t>
      </w:r>
    </w:p>
    <w:p>
      <w:pPr>
        <w:spacing w:after="160"/>
      </w:pPr>
      <w:r>
        <w:rPr>
          <w:color w:val="2A9D8F"/>
          <w:sz w:val="18"/>
          <w:szCs w:val="18"/>
        </w:rPr>
        <w:t xml:space="preserve">Monthly retainer • On-demand access • Strategic counsel</w:t>
      </w:r>
    </w:p>
    <w:p>
      <w:r>
        <w:br w:type="page"/>
      </w:r>
    </w:p>
    <w:p>
      <w:pPr>
        <w:pStyle w:val="Heading1"/>
      </w:pPr>
      <w:r>
        <w:t xml:space="preserve">Section 5: The Book</w:t>
      </w:r>
    </w:p>
    <w:p>
      <w:pPr>
        <w:pStyle w:val="Heading3"/>
      </w:pPr>
      <w:r>
        <w:t xml:space="preserve">Headline</w:t>
      </w:r>
    </w:p>
    <w:p>
      <w:pPr>
        <w:spacing w:after="100"/>
      </w:pPr>
      <w:r>
        <w:rPr>
          <w:b/>
          <w:bCs/>
          <w:color w:val="1A2744"/>
          <w:sz w:val="28"/>
          <w:szCs w:val="28"/>
        </w:rPr>
        <w:t xml:space="preserve">The Complete CX Konnect Framework</w:t>
      </w:r>
    </w:p>
    <w:p>
      <w:pPr>
        <w:pStyle w:val="Heading3"/>
      </w:pPr>
      <w:r>
        <w:t xml:space="preserve">Description</w:t>
      </w:r>
    </w:p>
    <w:p>
      <w:pPr>
        <w:spacing w:after="160"/>
      </w:pPr>
      <w:r>
        <w:t xml:space="preserve">Thirteen chapters covering everything from the customer outcome imperative and cross-functional alignment to AI-enabled org design, culture transformation, and industry-specific applications across healthcare, technology, telecommunications, financial services, and more.</w:t>
      </w:r>
    </w:p>
    <w:p>
      <w:pPr>
        <w:spacing w:after="200"/>
      </w:pPr>
      <w:r>
        <w:t xml:space="preserve">The book includes the CX Konnect Leadership Playbook — a modular workbook with self-assessments, team exercises, and action plans for every chapter.</w:t>
      </w:r>
    </w:p>
    <w:p>
      <w:pPr>
        <w:pStyle w:val="Heading3"/>
      </w:pPr>
      <w:r>
        <w:t xml:space="preserve">Chapter Tags (displayed as pills/badges)</w:t>
      </w:r>
    </w:p>
    <w:p>
      <w:pPr>
        <w:spacing w:after="200"/>
      </w:pPr>
      <w:r>
        <w:t xml:space="preserve">Customer Outcomes • Framework Overview • Breaking Silos • Journey Stages • Function Orchestration • Cross-Functional Fixes • Metrics That Matter • Culture Shift • Industry Spotlights • Scaling the Model • AI Intelligence Layer • Leadership Playbook</w:t>
      </w:r>
    </w:p>
    <w:p>
      <w:pPr>
        <w:pStyle w:val="Heading1"/>
      </w:pPr>
      <w:r>
        <w:t xml:space="preserve">Section 6: Contact</w:t>
      </w:r>
    </w:p>
    <w:p>
      <w:pPr>
        <w:pStyle w:val="Heading3"/>
      </w:pPr>
      <w:r>
        <w:t xml:space="preserve">Headline</w:t>
      </w:r>
    </w:p>
    <w:p>
      <w:pPr>
        <w:spacing w:after="100"/>
      </w:pPr>
      <w:r>
        <w:rPr>
          <w:b/>
          <w:bCs/>
          <w:color w:val="1A2744"/>
          <w:sz w:val="26"/>
          <w:szCs w:val="26"/>
        </w:rPr>
        <w:t xml:space="preserve">Let’s Talk About Your CX Transformation</w:t>
      </w:r>
    </w:p>
    <w:p>
      <w:pPr>
        <w:pStyle w:val="Heading3"/>
      </w:pPr>
      <w:r>
        <w:t xml:space="preserve">Intro Copy</w:t>
      </w:r>
    </w:p>
    <w:p>
      <w:pPr>
        <w:spacing w:after="200"/>
      </w:pPr>
      <w:r>
        <w:t xml:space="preserve">Whether you are a CX leader looking to redesign your organization for the AI era, a CEO who wants customer experience to drive measurable business outcomes, or a conference organizer seeking a speaker who has lived this work for three decades — I would love to hear from you.</w:t>
      </w:r>
    </w:p>
    <w:p>
      <w:pPr>
        <w:pStyle w:val="Heading3"/>
      </w:pPr>
      <w:r>
        <w:t xml:space="preserve">Contact Form Fields</w:t>
      </w:r>
    </w:p>
    <w:p>
      <w:pPr>
        <w:pStyle w:val="ListParagraph"/>
        <w:numPr>
          <w:ilvl w:val="0"/>
          <w:numId w:val="2"/>
        </w:numPr>
      </w:pPr>
      <w:r>
        <w:t xml:space="preserve">Name (text input)</w:t>
      </w:r>
    </w:p>
    <w:p>
      <w:pPr>
        <w:pStyle w:val="ListParagraph"/>
        <w:numPr>
          <w:ilvl w:val="0"/>
          <w:numId w:val="2"/>
        </w:numPr>
      </w:pPr>
      <w:r>
        <w:t xml:space="preserve">Email (email input)</w:t>
      </w:r>
    </w:p>
    <w:p>
      <w:pPr>
        <w:pStyle w:val="ListParagraph"/>
        <w:numPr>
          <w:ilvl w:val="0"/>
          <w:numId w:val="2"/>
        </w:numPr>
      </w:pPr>
      <w:r>
        <w:t xml:space="preserve">Company (text input)</w:t>
      </w:r>
    </w:p>
    <w:p>
      <w:pPr>
        <w:pStyle w:val="ListParagraph"/>
        <w:numPr>
          <w:ilvl w:val="0"/>
          <w:numId w:val="2"/>
        </w:numPr>
      </w:pPr>
      <w:r>
        <w:t xml:space="preserve">I’m interested in… (dropdown: CX Maturity Assessment, CX Konnect Implementation, AI-Enabled CX Org Design, Leadership Workshops, Keynote Speaking, Executive Advisory, Something else)</w:t>
      </w:r>
    </w:p>
    <w:p>
      <w:pPr>
        <w:pStyle w:val="ListParagraph"/>
        <w:numPr>
          <w:ilvl w:val="0"/>
          <w:numId w:val="2"/>
        </w:numPr>
        <w:spacing w:after="200"/>
      </w:pPr>
      <w:r>
        <w:t xml:space="preserve">Message (textarea)</w:t>
      </w:r>
    </w:p>
    <w:p>
      <w:pPr>
        <w:pStyle w:val="Heading3"/>
      </w:pPr>
      <w:r>
        <w:t xml:space="preserve">Supporting Details (left column)</w:t>
      </w:r>
    </w:p>
    <w:p>
      <w:pPr>
        <w:pStyle w:val="ListParagraph"/>
        <w:numPr>
          <w:ilvl w:val="0"/>
          <w:numId w:val="2"/>
        </w:numPr>
      </w:pPr>
      <w:r>
        <w:t xml:space="preserve">Based in the United States • Serving clients globally</w:t>
      </w:r>
    </w:p>
    <w:p>
      <w:pPr>
        <w:pStyle w:val="ListParagraph"/>
        <w:numPr>
          <w:ilvl w:val="0"/>
          <w:numId w:val="2"/>
        </w:numPr>
      </w:pPr>
      <w:r>
        <w:t xml:space="preserve">Typically responds within 1–2 business days</w:t>
      </w:r>
    </w:p>
    <w:p>
      <w:pPr>
        <w:pStyle w:val="ListParagraph"/>
        <w:numPr>
          <w:ilvl w:val="0"/>
          <w:numId w:val="2"/>
        </w:numPr>
        <w:spacing w:after="200"/>
      </w:pPr>
      <w:r>
        <w:t xml:space="preserve">Workshops available in-person and virtually</w:t>
      </w:r>
    </w:p>
    <w:p>
      <w:r>
        <w:br w:type="page"/>
      </w:r>
    </w:p>
    <w:p>
      <w:pPr>
        <w:pStyle w:val="Heading1"/>
      </w:pPr>
      <w:r>
        <w:t xml:space="preserve">Section 7: Community Banner</w:t>
      </w:r>
    </w:p>
    <w:p>
      <w:pPr>
        <w:spacing w:after="100"/>
      </w:pPr>
      <w:r>
        <w:rPr>
          <w:b/>
          <w:bCs/>
          <w:i/>
          <w:iCs/>
        </w:rPr>
        <w:t xml:space="preserve">Note: </w:t>
      </w:r>
      <w:r>
        <w:rPr>
          <w:i/>
          <w:iCs/>
          <w:color w:val="999999"/>
        </w:rPr>
        <w:t xml:space="preserve">This section appears as a compact banner near the bottom of the page, above the footer.</w:t>
      </w:r>
    </w:p>
    <w:p>
      <w:pPr>
        <w:pStyle w:val="Heading3"/>
      </w:pPr>
      <w:r>
        <w:t xml:space="preserve">Headline</w:t>
      </w:r>
    </w:p>
    <w:p>
      <w:pPr>
        <w:spacing w:after="100"/>
      </w:pPr>
      <w:r>
        <w:rPr>
          <w:b/>
          <w:bCs/>
          <w:color w:val="1A2744"/>
          <w:sz w:val="24"/>
          <w:szCs w:val="24"/>
        </w:rPr>
        <w:t xml:space="preserve">Join the CX Konnect Community</w:t>
      </w:r>
    </w:p>
    <w:p>
      <w:pPr>
        <w:pStyle w:val="Heading3"/>
      </w:pPr>
      <w:r>
        <w:t xml:space="preserve">Tagline</w:t>
      </w:r>
    </w:p>
    <w:p>
      <w:pPr>
        <w:spacing w:after="100"/>
      </w:pPr>
      <w:r>
        <w:t xml:space="preserve">Connect with CX practitioners, share insights, and stay current on outcome-driven customer experience.</w:t>
      </w:r>
    </w:p>
    <w:p>
      <w:pPr>
        <w:pStyle w:val="Heading3"/>
      </w:pPr>
      <w:r>
        <w:t xml:space="preserve">Link Buttons</w:t>
      </w:r>
    </w:p>
    <w:p>
      <w:pPr>
        <w:pStyle w:val="ListParagraph"/>
        <w:numPr>
          <w:ilvl w:val="0"/>
          <w:numId w:val="2"/>
        </w:numPr>
      </w:pPr>
      <w:r>
        <w:t xml:space="preserve">LinkedIn</w:t>
      </w:r>
    </w:p>
    <w:p>
      <w:pPr>
        <w:pStyle w:val="ListParagraph"/>
        <w:numPr>
          <w:ilvl w:val="0"/>
          <w:numId w:val="2"/>
        </w:numPr>
      </w:pPr>
      <w:r>
        <w:t xml:space="preserve">Newsletter</w:t>
      </w:r>
    </w:p>
    <w:p>
      <w:pPr>
        <w:pStyle w:val="ListParagraph"/>
        <w:numPr>
          <w:ilvl w:val="0"/>
          <w:numId w:val="2"/>
        </w:numPr>
        <w:spacing w:after="200"/>
      </w:pPr>
      <w:r>
        <w:t xml:space="preserve">Community Forum</w:t>
      </w:r>
    </w:p>
    <w:p>
      <w:pPr>
        <w:pStyle w:val="Heading1"/>
      </w:pPr>
      <w:r>
        <w:t xml:space="preserve">Footer</w:t>
      </w:r>
    </w:p>
    <w:p>
      <w:r>
        <w:t xml:space="preserve">© 2026 CX Konnect. All rights reserved. | Privacy Policy | Terms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CX Konnect — Website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74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27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2026-04-12T00:43:39.301Z</dcterms:created>
  <dcterms:modified xsi:type="dcterms:W3CDTF">2026-04-12T00:43:39.302Z</dcterms:modified>
</cp:coreProperties>
</file>

<file path=docProps/custom.xml><?xml version="1.0" encoding="utf-8"?>
<Properties xmlns="http://schemas.openxmlformats.org/officeDocument/2006/custom-properties" xmlns:vt="http://schemas.openxmlformats.org/officeDocument/2006/docPropsVTypes"/>
</file>