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25522"/>
          <w:sz w:val="32"/>
        </w:rPr>
        <w:t>Market Research Notes — Indonesia Sports &amp; Lifestyle Retail Q1 2026</w:t>
      </w:r>
    </w:p>
    <w:p>
      <w:r>
        <w:t>Internal briefing for Operations · April 2026</w:t>
      </w:r>
    </w:p>
    <w:p/>
    <w:p>
      <w:pPr>
        <w:pStyle w:val="Heading2"/>
      </w:pPr>
      <w:r>
        <w:t>Macro context</w:t>
      </w:r>
    </w:p>
    <w:p>
      <w:pPr>
        <w:pStyle w:val="ListBullet"/>
      </w:pPr>
      <w:r>
        <w:t>Indonesia retail confidence index Q1 2026 at 124.5, marginally up from Q4 2025.</w:t>
      </w:r>
    </w:p>
    <w:p>
      <w:pPr>
        <w:pStyle w:val="ListBullet"/>
      </w:pPr>
      <w:r>
        <w:t>Tier-1 mall footfall recovering post-Ramadan (12-14 March); peak Sat/Sun traffic +18% YoY.</w:t>
      </w:r>
    </w:p>
    <w:p>
      <w:pPr>
        <w:pStyle w:val="ListBullet"/>
      </w:pPr>
      <w:r>
        <w:t>IDR/USD stable around 16,300 — imported brand pricing held.</w:t>
      </w:r>
    </w:p>
    <w:p>
      <w:pPr>
        <w:pStyle w:val="Heading2"/>
      </w:pPr>
      <w:r>
        <w:t>Category dynamics</w:t>
      </w:r>
    </w:p>
    <w:p>
      <w:pPr>
        <w:pStyle w:val="ListBullet"/>
      </w:pPr>
      <w:r>
        <w:t>Running category leads growth (+22% YoY) — Brooks, HOKA, ASICS strong.</w:t>
      </w:r>
    </w:p>
    <w:p>
      <w:pPr>
        <w:pStyle w:val="ListBullet"/>
      </w:pPr>
      <w:r>
        <w:t>Basketball steady (+8%); influencer Y2K drops driving New Balance 740 and 550.</w:t>
      </w:r>
    </w:p>
    <w:p>
      <w:pPr>
        <w:pStyle w:val="ListBullet"/>
      </w:pPr>
      <w:r>
        <w:t>Athleisure soft in entry-price tier (Skechers Comfort), strong in premium (Lululemon-style).</w:t>
      </w:r>
    </w:p>
    <w:p>
      <w:pPr>
        <w:pStyle w:val="ListBullet"/>
      </w:pPr>
      <w:r>
        <w:t>Kids growing as Tier-2 city malls open new spaces.</w:t>
      </w:r>
    </w:p>
    <w:p>
      <w:pPr>
        <w:pStyle w:val="Heading2"/>
      </w:pPr>
      <w:r>
        <w:t>Competitor moves (Jakarta flagships)</w:t>
      </w:r>
    </w:p>
    <w:p>
      <w:pPr>
        <w:pStyle w:val="ListBullet"/>
      </w:pPr>
      <w:r>
        <w:t>Nike Senayan — relaunched run club, weekly Sat 6am session, +1,200 RSVPs.</w:t>
      </w:r>
    </w:p>
    <w:p>
      <w:pPr>
        <w:pStyle w:val="ListBullet"/>
      </w:pPr>
      <w:r>
        <w:t>Adidas Pondok Indah — Originals capsule pop-up extended through April.</w:t>
      </w:r>
    </w:p>
    <w:p>
      <w:pPr>
        <w:pStyle w:val="ListBullet"/>
      </w:pPr>
      <w:r>
        <w:t>Decathlon Alam Sutera — community price refresh; AUR pressure on commodity gear.</w:t>
      </w:r>
    </w:p>
    <w:p>
      <w:pPr>
        <w:pStyle w:val="Heading2"/>
      </w:pPr>
      <w:r>
        <w:t>Implications for Contoso Active</w:t>
      </w:r>
    </w:p>
    <w:p>
      <w:pPr>
        <w:pStyle w:val="ListBullet"/>
      </w:pPr>
      <w:r>
        <w:t>Drive footfall via run-club/community events — replicate Nike Senayan model at CA PIM 1.</w:t>
      </w:r>
    </w:p>
    <w:p>
      <w:pPr>
        <w:pStyle w:val="ListBullet"/>
      </w:pPr>
      <w:r>
        <w:t>Defend AUR — review entry-price SKUs cannibalising mid-tier.</w:t>
      </w:r>
    </w:p>
    <w:p>
      <w:pPr>
        <w:pStyle w:val="ListBullet"/>
      </w:pPr>
      <w:r>
        <w:t>Pre-empt Digimap/in-store cannibalisation with clearer channel pricing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