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32"/>
        </w:rPr>
        <w:t>MEETING TRANSCRIPT — INTERNAL</w:t>
      </w:r>
    </w:p>
    <w:p>
      <w:r>
        <w:t>Subject: Q3 2026 Quarterly Sector Supervisory Review — Fintech &amp; Banking</w:t>
      </w:r>
    </w:p>
    <w:p>
      <w:r>
        <w:t>Date / Time: 2 October 2026, 09:30 — 10:25 WIB</w:t>
      </w:r>
    </w:p>
    <w:p>
      <w:r>
        <w:t>Location: Contoso FSA HQ, Jakarta — Boardroom 8 / Microsoft Teams</w:t>
      </w:r>
    </w:p>
    <w:p>
      <w:r>
        <w:t>Classification: Confidential — Internal Use Only</w:t>
      </w:r>
    </w:p>
    <w:p/>
    <w:p>
      <w:r>
        <w:rPr>
          <w:b/>
        </w:rPr>
        <w:t>Attendees:</w:t>
      </w:r>
    </w:p>
    <w:p>
      <w:r>
        <w:t>• Andi Pratama — Director, Sectoral Supervision (Chair)</w:t>
      </w:r>
    </w:p>
    <w:p>
      <w:r>
        <w:t>• Sari Wijaya — Deputy Director, Banking Supervision</w:t>
      </w:r>
    </w:p>
    <w:p>
      <w:r>
        <w:t>• Reza Hakim — Deputy Director, Capital Markets</w:t>
      </w:r>
    </w:p>
    <w:p>
      <w:r>
        <w:t>• Maya Indrawati — Head, Fintech &amp; Innovation Unit</w:t>
      </w:r>
    </w:p>
    <w:p>
      <w:r>
        <w:t>• Bambang Sutrisno — Head, Consumer Protection</w:t>
      </w:r>
    </w:p>
    <w:p>
      <w:r>
        <w:t>• Linda Hartono — Senior Analyst, Risk &amp; Surveillance</w:t>
      </w:r>
    </w:p>
    <w:p>
      <w:r>
        <w:t>• Dion Kurniawan — Legal Counsel</w:t>
      </w:r>
    </w:p>
    <w:p/>
    <w:p>
      <w:r>
        <w:rPr>
          <w:b/>
        </w:rPr>
        <w:t>TRANSCRIPT</w:t>
      </w:r>
    </w:p>
    <w:p>
      <w:r>
        <w:rPr>
          <w:b/>
        </w:rPr>
        <w:t xml:space="preserve">Andi: </w:t>
      </w:r>
      <w:r>
        <w:t>Good morning everyone. Let's start with the headline numbers. Sari, could you walk us through the banking sector position as of Q3?</w:t>
      </w:r>
    </w:p>
    <w:p>
      <w:r>
        <w:rPr>
          <w:b/>
        </w:rPr>
        <w:t xml:space="preserve">Sari: </w:t>
      </w:r>
      <w:r>
        <w:t>Thank you. Out of the 30 commercial banks under our remit, 23 remain in the Healthy category, 5 are on Watch, and 2 are now under Intensive Supervision. The two on Intensive Supervision are smaller KBMI 1 banks — Bank Adiyatma Nusa and Bank Fortuna Kita — both showing NPL gross above 4.8% and BOPO ratios above 88%. We have requested updated capital plans by 31 October.</w:t>
      </w:r>
    </w:p>
    <w:p>
      <w:r>
        <w:rPr>
          <w:b/>
        </w:rPr>
        <w:t xml:space="preserve">Andi: </w:t>
      </w:r>
      <w:r>
        <w:t>Are we seeing systemic risk implications, or is this idiosyncratic?</w:t>
      </w:r>
    </w:p>
    <w:p>
      <w:r>
        <w:rPr>
          <w:b/>
        </w:rPr>
        <w:t xml:space="preserve">Sari: </w:t>
      </w:r>
      <w:r>
        <w:t>Idiosyncratic at this stage. Sector aggregate CAR is still 22.6% and NPL gross is 2.8%. Liquidity is comfortable — sector LDR at 86%.</w:t>
      </w:r>
    </w:p>
    <w:p>
      <w:r>
        <w:rPr>
          <w:b/>
        </w:rPr>
        <w:t xml:space="preserve">Andi: </w:t>
      </w:r>
      <w:r>
        <w:t>Good. Reza, capital markets?</w:t>
      </w:r>
    </w:p>
    <w:p>
      <w:r>
        <w:rPr>
          <w:b/>
        </w:rPr>
        <w:t xml:space="preserve">Reza: </w:t>
      </w:r>
      <w:r>
        <w:t>Composite index closed Q3 at 7,612 — up 3.4% quarter-on-quarter. Foreign flows turned positive in the last three weeks of September after two months of outflows. Daily volume averaged IDR 13.8 trillion, slightly above the H1 average. Volatility ticked up around the rate decision but normalised quickly.</w:t>
      </w:r>
    </w:p>
    <w:p>
      <w:r>
        <w:rPr>
          <w:b/>
        </w:rPr>
        <w:t xml:space="preserve">Andi: </w:t>
      </w:r>
      <w:r>
        <w:t>Any conduct or market integrity flags?</w:t>
      </w:r>
    </w:p>
    <w:p>
      <w:r>
        <w:rPr>
          <w:b/>
        </w:rPr>
        <w:t xml:space="preserve">Reza: </w:t>
      </w:r>
      <w:r>
        <w:t>Three insider trading investigations are ongoing. One is close to enforcement referral. We also flagged unusual trading patterns in two newly-listed mid-caps — surveillance is monitoring.</w:t>
      </w:r>
    </w:p>
    <w:p>
      <w:r>
        <w:rPr>
          <w:b/>
        </w:rPr>
        <w:t xml:space="preserve">Andi: </w:t>
      </w:r>
      <w:r>
        <w:t>Note for the report. Maya, fintech sector?</w:t>
      </w:r>
    </w:p>
    <w:p>
      <w:r>
        <w:rPr>
          <w:b/>
        </w:rPr>
        <w:t xml:space="preserve">Maya: </w:t>
      </w:r>
      <w:r>
        <w:t>We have 80 licensed entities across 8 sub-sectors. Q3 highlights: digital payments transaction volume grew 18% QoQ. P2P lending complaints rose by 24% — almost entirely driven by collection practices in three lenders. We have issued written warnings and required remediation plans. Sandbox cohort 4 onboarded six new entrants this quarter — three RegTech, two WealthTech, one InsurTech.</w:t>
      </w:r>
    </w:p>
    <w:p>
      <w:r>
        <w:rPr>
          <w:b/>
        </w:rPr>
        <w:t xml:space="preserve">Andi: </w:t>
      </w:r>
      <w:r>
        <w:t>On the P2P complaints — are we seeing repeat offenders?</w:t>
      </w:r>
    </w:p>
    <w:p>
      <w:r>
        <w:rPr>
          <w:b/>
        </w:rPr>
        <w:t xml:space="preserve">Maya: </w:t>
      </w:r>
      <w:r>
        <w:t>Yes. Two of the three flagged lenders were also flagged in Q1. Bambang's team is leading consumer protection action.</w:t>
      </w:r>
    </w:p>
    <w:p>
      <w:r>
        <w:rPr>
          <w:b/>
        </w:rPr>
        <w:t xml:space="preserve">Bambang: </w:t>
      </w:r>
      <w:r>
        <w:t>Confirmed. We are preparing a public advisory and proposing to publish the names of repeat offenders in the next quarterly newsletter — pending legal sign-off.</w:t>
      </w:r>
    </w:p>
    <w:p>
      <w:r>
        <w:rPr>
          <w:b/>
        </w:rPr>
        <w:t xml:space="preserve">Dion: </w:t>
      </w:r>
      <w:r>
        <w:t>Legal will support disclosure under the consumer protection framework. We will need 5 working days to finalise wording.</w:t>
      </w:r>
    </w:p>
    <w:p>
      <w:r>
        <w:rPr>
          <w:b/>
        </w:rPr>
        <w:t xml:space="preserve">Andi: </w:t>
      </w:r>
      <w:r>
        <w:t>Approved in principle. Linda, anything from the surveillance side?</w:t>
      </w:r>
    </w:p>
    <w:p>
      <w:r>
        <w:rPr>
          <w:b/>
        </w:rPr>
        <w:t xml:space="preserve">Linda: </w:t>
      </w:r>
      <w:r>
        <w:t>Cyber incidents reported by licensees are up to 47 in Q3 from 31 in Q2. Most are low-severity phishing — no material data breach. AML compliance scores improved on average by 2.4 points after the new reporting template was rolled out in July.</w:t>
      </w:r>
    </w:p>
    <w:p>
      <w:r>
        <w:rPr>
          <w:b/>
        </w:rPr>
        <w:t xml:space="preserve">Andi: </w:t>
      </w:r>
      <w:r>
        <w:t>Good progress. Action items: (1) Sari to circulate the two Intensive Supervision capital plans by 31 October. (2) Reza to brief the board on insider trading investigations next month. (3) Maya and Bambang to draft the P2P public advisory — legal review by Dion within 5 working days. (4) Linda to include cyber incident trend chart in the Q3 publication. (5) I will coordinate with Bank Indonesia and the IDX leadership on the Q4 stakeholder meeting calendar.</w:t>
      </w:r>
    </w:p>
    <w:p>
      <w:r>
        <w:rPr>
          <w:b/>
        </w:rPr>
        <w:t xml:space="preserve">Andi: </w:t>
      </w:r>
      <w:r>
        <w:t>Final item — the Q3 quarterly publication is due 25 October. Please send all sectoral inputs to my office by 18 October. Anything else?</w:t>
      </w:r>
    </w:p>
    <w:p>
      <w:r>
        <w:rPr>
          <w:b/>
        </w:rPr>
        <w:t xml:space="preserve">Sari: </w:t>
      </w:r>
      <w:r>
        <w:t>Nothing further from banking.</w:t>
      </w:r>
    </w:p>
    <w:p>
      <w:r>
        <w:rPr>
          <w:b/>
        </w:rPr>
        <w:t xml:space="preserve">Andi: </w:t>
      </w:r>
      <w:r>
        <w:t>Thank you all. Meeting closed at 10:25.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