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5F"/>
          <w:sz w:val="32"/>
        </w:rPr>
        <w:t>Stakeholder Coordination Briefing — Q4 2026</w:t>
      </w:r>
    </w:p>
    <w:p>
      <w:r>
        <w:t>Owner: Office of the Director, Sectoral Supervision · Contoso Financial Services Authority</w:t>
      </w:r>
    </w:p>
    <w:p>
      <w:r>
        <w:t>Classification: Internal — for use in stakeholder coordination, briefings, and publications</w:t>
      </w:r>
    </w:p>
    <w:p/>
    <w:p>
      <w:r>
        <w:rPr>
          <w:b/>
          <w:color w:val="1E3A5F"/>
          <w:sz w:val="26"/>
        </w:rPr>
        <w:t>1. Purpose</w:t>
      </w:r>
    </w:p>
    <w:p>
      <w:r>
        <w:t>This briefing summarises the Q4 2026 coordination programme between Contoso FSA and three stakeholder groups: (a) the banking association, (b) the stock exchange and clearing house, and (c) the Fintech Industry Association. It is intended to support drafting of correspondence, talking points, and the quarterly newsletter.</w:t>
      </w:r>
    </w:p>
    <w:p>
      <w:r>
        <w:rPr>
          <w:b/>
          <w:color w:val="1E3A5F"/>
          <w:sz w:val="26"/>
        </w:rPr>
        <w:t>2. Banking Association Engagement</w:t>
      </w:r>
    </w:p>
    <w:p>
      <w:r>
        <w:t>Counterparts: Banking Association Indonesia (BAI) leadership, Risk &amp; Compliance Forum chairs, IT Security Working Group.</w:t>
      </w:r>
    </w:p>
    <w:p>
      <w:r>
        <w:t>• Q4 priority: aligning the new operational resilience framework — issuance window targeted for late November.</w:t>
      </w:r>
    </w:p>
    <w:p>
      <w:r>
        <w:t>• Joint working group on BCM (Business Continuity Management) testing — quarterly tabletop scheduled 14 November.</w:t>
      </w:r>
    </w:p>
    <w:p>
      <w:r>
        <w:t>• Two Tier-1 banks have requested a private dialogue on the revised CAR buffers — to be scheduled by mid-October.</w:t>
      </w:r>
    </w:p>
    <w:p>
      <w:r>
        <w:t>• KBMI 1 banks under intensive supervision: capital plans due 31 October; BAI to assist with sector remediation guidance.</w:t>
      </w:r>
    </w:p>
    <w:p>
      <w:r>
        <w:rPr>
          <w:b/>
          <w:color w:val="1E3A5F"/>
          <w:sz w:val="26"/>
        </w:rPr>
        <w:t>3. Stock Exchange &amp; Clearing House</w:t>
      </w:r>
    </w:p>
    <w:p>
      <w:r>
        <w:t>Counterparts: IDX (Indonesia Stock Exchange) leadership, KSEI (depositary), KPEI (clearing).</w:t>
      </w:r>
    </w:p>
    <w:p>
      <w:r>
        <w:t>• Q4 priority: implementation review of the new short-selling rulebook (effective 1 October).</w:t>
      </w:r>
    </w:p>
    <w:p>
      <w:r>
        <w:t>• Surveillance MoU annual review — joint workshop on cross-market surveillance scheduled 6 November.</w:t>
      </w:r>
    </w:p>
    <w:p>
      <w:r>
        <w:t>• Three insider trading cases are at advanced investigation; coordination required on listed-company disclosures.</w:t>
      </w:r>
    </w:p>
    <w:p>
      <w:r>
        <w:t>• ESG-themed product pipeline: three new green bonds and one sustainability-linked sukuk in registration.</w:t>
      </w:r>
    </w:p>
    <w:p>
      <w:r>
        <w:t>• Investor education campaign — Contoso FSA will co-sponsor IDX's retail investor week (24-28 November).</w:t>
      </w:r>
    </w:p>
    <w:p>
      <w:r>
        <w:rPr>
          <w:b/>
          <w:color w:val="1E3A5F"/>
          <w:sz w:val="26"/>
        </w:rPr>
        <w:t>4. Fintech Industry Association</w:t>
      </w:r>
    </w:p>
    <w:p>
      <w:r>
        <w:t>Counterparts: Fintech Association of Nusantara (FAN), P2P Lending Working Group, Digital Payments Council.</w:t>
      </w:r>
    </w:p>
    <w:p>
      <w:r>
        <w:t>• Q4 priority: response to rising P2P collection-practice complaints — 24% QoQ increase, concentrated in three lenders.</w:t>
      </w:r>
    </w:p>
    <w:p>
      <w:r>
        <w:t>• Public advisory on collection conduct — joint communiqué planned for 1 November (legal sign-off pending).</w:t>
      </w:r>
    </w:p>
    <w:p>
      <w:r>
        <w:t>• Sandbox cohort 4 graduation event — 12 December.</w:t>
      </w:r>
    </w:p>
    <w:p>
      <w:r>
        <w:t>• Cross-border payments roundtable with Bank Indonesia and ASEAN counterparts — 19 November.</w:t>
      </w:r>
    </w:p>
    <w:p>
      <w:r>
        <w:t>• Cyber resilience: 47 cyber incidents reported in Q3 (vs 31 in Q2) — joint awareness campaign planned with FAN.</w:t>
      </w:r>
    </w:p>
    <w:p>
      <w:r>
        <w:rPr>
          <w:b/>
          <w:color w:val="1E3A5F"/>
          <w:sz w:val="26"/>
        </w:rPr>
        <w:t>5. Communication Calendar — Q4 2026</w:t>
      </w:r>
    </w:p>
    <w:p>
      <w:r>
        <w:t>• 18 Oct — Sectoral inputs due for Q3 quarterly publication</w:t>
      </w:r>
    </w:p>
    <w:p>
      <w:r>
        <w:t>• 25 Oct — Q3 Quarterly Publication issued</w:t>
      </w:r>
    </w:p>
    <w:p>
      <w:r>
        <w:t>• 1 Nov — Joint P2P Conduct Advisory (Contoso FSA + FAN)</w:t>
      </w:r>
    </w:p>
    <w:p>
      <w:r>
        <w:t>• 6 Nov — Joint surveillance workshop with IDX/KSEI/KPEI</w:t>
      </w:r>
    </w:p>
    <w:p>
      <w:r>
        <w:t>• 14 Nov — Banking BCM tabletop exercise (with BAI)</w:t>
      </w:r>
    </w:p>
    <w:p>
      <w:r>
        <w:t>• 19 Nov — Cross-border payments roundtable</w:t>
      </w:r>
    </w:p>
    <w:p>
      <w:r>
        <w:t>• 24-28 Nov — Retail investor education week</w:t>
      </w:r>
    </w:p>
    <w:p>
      <w:r>
        <w:t>• 12 Dec — Sandbox cohort 4 graduation</w:t>
      </w:r>
    </w:p>
    <w:p>
      <w:r>
        <w:rPr>
          <w:b/>
          <w:color w:val="1E3A5F"/>
          <w:sz w:val="26"/>
        </w:rPr>
        <w:t>6. Key Messages for External Communications</w:t>
      </w:r>
    </w:p>
    <w:p>
      <w:r>
        <w:t>• "Stable and resilient financial sector with focused supervisory attention on conduct and operational risk."</w:t>
      </w:r>
    </w:p>
    <w:p>
      <w:r>
        <w:t>• "Proactive consumer protection: action against repeat conduct offenders is firm and transparent."</w:t>
      </w:r>
    </w:p>
    <w:p>
      <w:r>
        <w:t>• "Innovation under guardrails: sandbox graduates demonstrate that responsible fintech and consumer trust can coexist."</w:t>
      </w:r>
    </w:p>
    <w:p>
      <w:r>
        <w:t>• "Coordinated response with Bank Indonesia and the exchange ensures market integrity end-to-end."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