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32"/>
        </w:rPr>
        <w:t>Contoso FSA — Brand &amp; Publication Guidelines</w:t>
      </w:r>
    </w:p>
    <w:p>
      <w:r>
        <w:t>Version 3.1 · Office of Corporate Communications · 2026</w:t>
      </w:r>
    </w:p>
    <w:p/>
    <w:p>
      <w:r>
        <w:rPr>
          <w:b/>
          <w:color w:val="1E3A5F"/>
          <w:sz w:val="26"/>
        </w:rPr>
        <w:t>1. Voice &amp; Tone</w:t>
      </w:r>
    </w:p>
    <w:p>
      <w:r>
        <w:t>• Authoritative but accessible. We are a regulator — clarity beats cleverness.</w:t>
      </w:r>
    </w:p>
    <w:p>
      <w:r>
        <w:t>• Plain language: prefer short sentences. Define acronyms on first use.</w:t>
      </w:r>
    </w:p>
    <w:p>
      <w:r>
        <w:t>• Neutral tone in supervisory communications. Confident tone in market commentary.</w:t>
      </w:r>
    </w:p>
    <w:p>
      <w:r>
        <w:t>• Bahasa Indonesia is the primary language. English versions are produced for cross-border and investor audiences.</w:t>
      </w:r>
    </w:p>
    <w:p>
      <w:r>
        <w:rPr>
          <w:b/>
          <w:color w:val="1E3A5F"/>
          <w:sz w:val="26"/>
        </w:rPr>
        <w:t>2. Visual Identity</w:t>
      </w:r>
    </w:p>
    <w:p>
      <w:r>
        <w:t>• Primary colour: Authority Blue — #1E3A5F</w:t>
      </w:r>
    </w:p>
    <w:p>
      <w:r>
        <w:t>• Accent colour: Trust Gold — #C9A227</w:t>
      </w:r>
    </w:p>
    <w:p>
      <w:r>
        <w:t>• Neutrals: Slate #475569, Cloud #F1F5F9, Ink #0F172A</w:t>
      </w:r>
    </w:p>
    <w:p>
      <w:r>
        <w:t>• Typography: Inter (digital), Source Serif Pro (print headlines)</w:t>
      </w:r>
    </w:p>
    <w:p>
      <w:r>
        <w:t>• Logo clear-space: minimum half the height of the wordmark on all sides</w:t>
      </w:r>
    </w:p>
    <w:p>
      <w:r>
        <w:t>• Never combine the Contoso FSA logo with a stakeholder logo without Communications sign-off</w:t>
      </w:r>
    </w:p>
    <w:p>
      <w:r>
        <w:rPr>
          <w:b/>
          <w:color w:val="1E3A5F"/>
          <w:sz w:val="26"/>
        </w:rPr>
        <w:t>3. Quarterly Publication Structure</w:t>
      </w:r>
    </w:p>
    <w:p>
      <w:r>
        <w:t>• Cover: title, period, classification, executive summary in 80 words or fewer</w:t>
      </w:r>
    </w:p>
    <w:p>
      <w:r>
        <w:t>• Section A — Macro &amp; Market Context (1-2 pages)</w:t>
      </w:r>
    </w:p>
    <w:p>
      <w:r>
        <w:t>• Section B — Banking Sector (2 pages, includes CAR/NPL/LDR sector charts)</w:t>
      </w:r>
    </w:p>
    <w:p>
      <w:r>
        <w:t>• Section C — Capital Markets (2 pages, includes index, flows, conduct cases anonymised)</w:t>
      </w:r>
    </w:p>
    <w:p>
      <w:r>
        <w:t>• Section D — Fintech &amp; Innovation (2 pages, sandbox updates, complaints theme, public advisories)</w:t>
      </w:r>
    </w:p>
    <w:p>
      <w:r>
        <w:t>• Section E — Consumer Protection &amp; Education</w:t>
      </w:r>
    </w:p>
    <w:p>
      <w:r>
        <w:t>• Section F — Forward Calendar — next quarter's stakeholder events</w:t>
      </w:r>
    </w:p>
    <w:p>
      <w:r>
        <w:t>• Back cover: contact details, classification, publication date</w:t>
      </w:r>
    </w:p>
    <w:p>
      <w:r>
        <w:rPr>
          <w:b/>
          <w:color w:val="1E3A5F"/>
          <w:sz w:val="26"/>
        </w:rPr>
        <w:t>4. Newsletter Standards</w:t>
      </w:r>
    </w:p>
    <w:p>
      <w:r>
        <w:t>• Length: 600-900 words for the lead article; 200-300 words per secondary item</w:t>
      </w:r>
    </w:p>
    <w:p>
      <w:r>
        <w:t>• Always include: one chart or data visualisation per section</w:t>
      </w:r>
    </w:p>
    <w:p>
      <w:r>
        <w:t>• Always include: a "What this means for the sector" call-out box</w:t>
      </w:r>
    </w:p>
    <w:p>
      <w:r>
        <w:t>• Never include: identifying details of entities under active investigation</w:t>
      </w:r>
    </w:p>
    <w:p>
      <w:r>
        <w:t>• Always include: a feedback channel and the next publication date</w:t>
      </w:r>
    </w:p>
    <w:p>
      <w:r>
        <w:rPr>
          <w:b/>
          <w:color w:val="1E3A5F"/>
          <w:sz w:val="26"/>
        </w:rPr>
        <w:t>5. Public Advisories</w:t>
      </w:r>
    </w:p>
    <w:p>
      <w:r>
        <w:t>• Lead with the consumer outcome, not the regulation reference</w:t>
      </w:r>
    </w:p>
    <w:p>
      <w:r>
        <w:t>• Always provide three things: (1) what to look out for, (2) what to do, (3) where to get help</w:t>
      </w:r>
    </w:p>
    <w:p>
      <w:r>
        <w:t>• Use a coloured callout block: amber for caution, red for active risk</w:t>
      </w:r>
    </w:p>
    <w:p>
      <w:r>
        <w:t>• Translate to Bahasa Indonesia and English; use sign-language video for major advisories</w:t>
      </w:r>
    </w:p>
    <w:p>
      <w:r>
        <w:rPr>
          <w:b/>
          <w:color w:val="1E3A5F"/>
          <w:sz w:val="26"/>
        </w:rPr>
        <w:t>6. Approvals</w:t>
      </w:r>
    </w:p>
    <w:p>
      <w:r>
        <w:t>• Quarterly publication: signed off by the Director of Sectoral Supervision and the Head of Communications</w:t>
      </w:r>
    </w:p>
    <w:p>
      <w:r>
        <w:t>• Public advisories: signed off by Legal and the relevant sector Deputy Director</w:t>
      </w:r>
    </w:p>
    <w:p>
      <w:r>
        <w:t>• Joint publications with stakeholders: dual sign-off with named counterpart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