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Geothermal — Brand &amp; Communications Guidelines</w:t>
      </w:r>
    </w:p>
    <w:p>
      <w:r>
        <w:t>Internal · 05 June 2026 · v1.0</w:t>
      </w:r>
    </w:p>
    <w:p>
      <w:pPr>
        <w:pStyle w:val="Heading1"/>
      </w:pPr>
      <w:r>
        <w:t>1. Brand Promise</w:t>
      </w:r>
    </w:p>
    <w:p>
      <w:r>
        <w:t>We deliver reliable, low-carbon baseload power. Our promise: every megawatt, safely produced, every shift.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#0e7490   ·   Secondary: #22d3ee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Plant Operations].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Pak Hendra Setiawan</w:t>
        <w:br/>
        <w:t>General Manager · Plant Operations</w:t>
        <w:br/>
        <w:t>Contoso Geothermal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