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Steam-Decline Mitigation — Reliability Investment Case</w:t>
      </w:r>
    </w:p>
    <w:p>
      <w:r>
        <w:t>Contoso Geothermal · Strategic Memo · Internal · 05 June 2026</w:t>
      </w:r>
    </w:p>
    <w:p/>
    <w:p>
      <w:pPr>
        <w:pStyle w:val="Heading1"/>
      </w:pPr>
      <w:r>
        <w:t>Executive Summary</w:t>
      </w:r>
    </w:p>
    <w:p>
      <w:r>
        <w:t>Plant availability across the three fields stands at 95.4% YTD versus a 96.5% target. The variance is concentrated at the mature wells in Wayang Windu and Salak. We recommend a phased make-up well programme, an accelerated cooling-tower refurbishment, and a digital-twin pilot at Darajat to extend reliability headroom.</w:t>
      </w:r>
    </w:p>
    <w:p>
      <w:pPr>
        <w:pStyle w:val="Heading1"/>
      </w:pPr>
      <w:r>
        <w:t>Where we are</w:t>
      </w:r>
    </w:p>
    <w:p>
      <w:pPr>
        <w:pStyle w:val="ListBullet"/>
      </w:pPr>
      <w:r>
        <w:t>Plant Availability % — current YTD vs plan; full breakdown in 02 Contoso_KPI_Dashboard.xlsx.</w:t>
      </w:r>
    </w:p>
    <w:p>
      <w:pPr>
        <w:pStyle w:val="ListBullet"/>
      </w:pPr>
      <w:r>
        <w:t>Net Generation (GWh) — current YTD vs plan; full breakdown in 02 Contoso_KPI_Dashboard.xlsx.</w:t>
      </w:r>
    </w:p>
    <w:p>
      <w:pPr>
        <w:pStyle w:val="ListBullet"/>
      </w:pPr>
      <w:r>
        <w:t>Forced Outage Rate % — current YTD vs plan; full breakdown in 02 Contoso_KPI_Dashboard.xlsx.</w:t>
      </w:r>
    </w:p>
    <w:p>
      <w:pPr>
        <w:pStyle w:val="Heading1"/>
      </w:pPr>
      <w:r>
        <w:t>Three Strategic Priorities (FY26 H2)</w:t>
      </w:r>
    </w:p>
    <w:p>
      <w:pPr>
        <w:pStyle w:val="ListNumber"/>
      </w:pPr>
      <w:r>
        <w:t>Phased make-up well programme at Wayang Windu and Salak.</w:t>
      </w:r>
    </w:p>
    <w:p>
      <w:pPr>
        <w:pStyle w:val="ListNumber"/>
      </w:pPr>
      <w:r>
        <w:t>Cooling-tower refurbishment at the four weakest units.</w:t>
      </w:r>
    </w:p>
    <w:p>
      <w:pPr>
        <w:pStyle w:val="ListNumber"/>
      </w:pPr>
      <w:r>
        <w:t>Digital-twin pilot at Darajat for predictive availability.</w:t>
      </w:r>
    </w:p>
    <w:p>
      <w:pPr>
        <w:pStyle w:val="Heading1"/>
      </w:pPr>
      <w:r>
        <w:t>Recommended Decision</w:t>
      </w:r>
    </w:p>
    <w:p>
      <w:r>
        <w:t>The Operations Committee is asked to (i) approve the FY26 H2 priorities, (ii) endorse the capex envelope outlined in the appendix, and (iii) authorise the GM to commission a 90-day delivery plan.</w:t>
      </w:r>
    </w:p>
    <w:p>
      <w:pPr>
        <w:pStyle w:val="Heading1"/>
      </w:pPr>
      <w:r>
        <w:t>Risks &amp; Open Questions</w:t>
      </w:r>
    </w:p>
    <w:p>
      <w:pPr>
        <w:pStyle w:val="ListBullet"/>
      </w:pPr>
      <w:r>
        <w:t>Funding envelope confirmation — pending CFO.</w:t>
      </w:r>
    </w:p>
    <w:p>
      <w:pPr>
        <w:pStyle w:val="ListBullet"/>
      </w:pPr>
      <w:r>
        <w:t>Regulatory timeline (where applicable).</w:t>
      </w:r>
    </w:p>
    <w:p>
      <w:pPr>
        <w:pStyle w:val="ListBullet"/>
      </w:pPr>
      <w:r>
        <w:t>Talent availability for accelerated rollout — see HR shortlist.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