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Contoso Gold Mining Co · Brand Guidelines</w:t>
      </w:r>
    </w:p>
    <w:p>
      <w:r>
        <w:rPr>
          <w:sz w:val="22"/>
        </w:rPr>
        <w:t>Version 1.4 · Corporate Affairs · For internal and vendor use.</w:t>
      </w:r>
    </w:p>
    <w:p>
      <w:r>
        <w:rPr>
          <w:b/>
          <w:color w:val="4A3728"/>
          <w:sz w:val="28"/>
        </w:rPr>
        <w:t>1. Palette</w:t>
      </w:r>
    </w:p>
    <w:p>
      <w:r>
        <w:rPr>
          <w:sz w:val="22"/>
        </w:rPr>
        <w:t>Primary gold: #C9A227. Use for accents, headline underlines, chart highlights.</w:t>
      </w:r>
    </w:p>
    <w:p>
      <w:r>
        <w:rPr>
          <w:sz w:val="22"/>
        </w:rPr>
        <w:t>Deep earth brown: #4A3728. Use for headers, ribbons, table headers.</w:t>
      </w:r>
    </w:p>
    <w:p>
      <w:r>
        <w:rPr>
          <w:sz w:val="22"/>
        </w:rPr>
        <w:t>Slate grey: #334155. Use for body text and secondary rules.</w:t>
      </w:r>
    </w:p>
    <w:p>
      <w:r>
        <w:rPr>
          <w:sz w:val="22"/>
        </w:rPr>
        <w:t>Ivory: #FAF5E6. Use for section backgrounds and callout tints.</w:t>
      </w:r>
    </w:p>
    <w:p>
      <w:r>
        <w:rPr>
          <w:b/>
          <w:color w:val="4A3728"/>
          <w:sz w:val="28"/>
        </w:rPr>
        <w:t>2. Typeface</w:t>
      </w:r>
    </w:p>
    <w:p>
      <w:r>
        <w:rPr>
          <w:sz w:val="22"/>
        </w:rPr>
        <w:t>Headlines: Inter Bold or Segoe UI Semibold. Body: Inter Regular 11pt.</w:t>
      </w:r>
    </w:p>
    <w:p>
      <w:r>
        <w:rPr>
          <w:b/>
          <w:color w:val="4A3728"/>
          <w:sz w:val="28"/>
        </w:rPr>
        <w:t>3. Voice and tone</w:t>
      </w:r>
    </w:p>
    <w:p>
      <w:r>
        <w:rPr>
          <w:sz w:val="22"/>
        </w:rPr>
        <w:t>Direct, respectful, safety-first. Prefer active voice, first-person plural when speaking as the company.</w:t>
      </w:r>
    </w:p>
    <w:p>
      <w:r>
        <w:rPr>
          <w:sz w:val="22"/>
        </w:rPr>
        <w:t>Avoid: em dashes, jargon (leverage, synergy, unlock), superlatives without evidence.</w:t>
      </w:r>
    </w:p>
    <w:p>
      <w:r>
        <w:rPr>
          <w:b/>
          <w:color w:val="4A3728"/>
          <w:sz w:val="28"/>
        </w:rPr>
        <w:t>4. Approved GM Communications Template</w:t>
      </w:r>
    </w:p>
    <w:p>
      <w:r>
        <w:rPr>
          <w:sz w:val="22"/>
        </w:rPr>
        <w:t>Salutation: Pak or Bu [First Name],</w:t>
      </w:r>
    </w:p>
    <w:p>
      <w:r>
        <w:rPr>
          <w:sz w:val="22"/>
        </w:rPr>
        <w:t>Paragraph 1: state the reason for writing in one sentence.</w:t>
      </w:r>
    </w:p>
    <w:p>
      <w:r>
        <w:rPr>
          <w:sz w:val="22"/>
        </w:rPr>
        <w:t>Paragraph 2: quote a specific highlight or concern relevant to the recipient.</w:t>
      </w:r>
    </w:p>
    <w:p>
      <w:r>
        <w:rPr>
          <w:sz w:val="22"/>
        </w:rPr>
        <w:t>Paragraph 3: state the one thing you are asking of them and the timeline.</w:t>
      </w:r>
    </w:p>
    <w:p>
      <w:r>
        <w:rPr>
          <w:sz w:val="22"/>
        </w:rPr>
        <w:t>Sign-off: Warm regards, Pak Rizky Wijaksono, GM Strategic Commercial &amp; IT, Contoso Gold Mining Co.</w:t>
      </w:r>
    </w:p>
    <w:p>
      <w:r>
        <w:rPr>
          <w:b/>
          <w:color w:val="4A3728"/>
          <w:sz w:val="28"/>
        </w:rPr>
        <w:t>5. Press release structure</w:t>
      </w:r>
    </w:p>
    <w:p>
      <w:r>
        <w:rPr>
          <w:sz w:val="22"/>
        </w:rPr>
        <w:t>H1 headline. Sub-head with date and location. Body: five paragraphs (context, quote, evidence, next step, boilerplate). Boilerplate: About Contoso Gold Mining Co, the Awak Mas Gold Project, Nusantara Resources group parent, media contact.</w:t>
      </w:r>
    </w:p>
    <w:p>
      <w:r>
        <w:rPr>
          <w:b/>
          <w:color w:val="4A3728"/>
          <w:sz w:val="28"/>
        </w:rPr>
        <w:t>6. Prohibited words in external comms</w:t>
      </w:r>
    </w:p>
    <w:p>
      <w:r>
        <w:rPr>
          <w:sz w:val="22"/>
        </w:rPr>
        <w:t>No superlatives without evidence. No forward-looking statements without a disclaimer. Never reveal reserve figures that are not in the current signed off Feasibility Study.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