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Contoso Gold Mining Co · Q2 FY26 Board Pack</w:t>
      </w:r>
    </w:p>
    <w:p>
      <w:r>
        <w:rPr>
          <w:sz w:val="22"/>
        </w:rPr>
        <w:t>Prepared for the Contoso Gold Mining Board of Directors</w:t>
      </w:r>
    </w:p>
    <w:p>
      <w:r>
        <w:rPr>
          <w:sz w:val="22"/>
        </w:rPr>
        <w:t>Circulation: Confidential. Board members and Corporate Secretariat only.</w:t>
      </w:r>
    </w:p>
    <w:p>
      <w:r>
        <w:rPr>
          <w:sz w:val="22"/>
        </w:rPr>
        <w:t>Prepared by: Pak Rizky Wijaksono, GM Strategic Commercial &amp; IT · Reviewed by: CFO, COO Mining, Head of Legal</w:t>
      </w:r>
    </w:p>
    <w:p>
      <w:r>
        <w:rPr>
          <w:sz w:val="22"/>
        </w:rPr>
        <w:t>Meeting date: 24 July 2026, 09:00 WITA, Jakarta HQ + Teams</w:t>
      </w:r>
    </w:p>
    <w:p>
      <w:r>
        <w:br w:type="page"/>
      </w:r>
    </w:p>
    <w:p>
      <w:r>
        <w:rPr>
          <w:b/>
          <w:color w:val="4A3728"/>
          <w:sz w:val="32"/>
        </w:rPr>
        <w:t>1. Executive Summary</w:t>
      </w:r>
    </w:p>
    <w:p>
      <w:pPr>
        <w:pStyle w:val="ListBullet"/>
      </w:pPr>
      <w:r>
        <w:rPr>
          <w:sz w:val="22"/>
        </w:rPr>
        <w:t>Awak Mas project remains on schedule for first pour Q3 2027.</w:t>
      </w:r>
    </w:p>
    <w:p>
      <w:pPr>
        <w:pStyle w:val="ListBullet"/>
      </w:pPr>
      <w:r>
        <w:rPr>
          <w:sz w:val="22"/>
        </w:rPr>
        <w:t>Total year-to-date capex spend USD 82m against a full-year plan of USD 165m, tracking to phasing.</w:t>
      </w:r>
    </w:p>
    <w:p>
      <w:pPr>
        <w:pStyle w:val="ListBullet"/>
      </w:pPr>
      <w:r>
        <w:rPr>
          <w:sz w:val="22"/>
        </w:rPr>
        <w:t>Two commercial risks require Board attention this quarter: renewal of the Trakindo plant lease and single-source exposure on the Orica explosives supply.</w:t>
      </w:r>
    </w:p>
    <w:p>
      <w:pPr>
        <w:pStyle w:val="ListBullet"/>
      </w:pPr>
      <w:r>
        <w:rPr>
          <w:sz w:val="22"/>
        </w:rPr>
        <w:t>The vendor contract book (210 active contracts) has been reviewed. The top 10 renegotiation opportunities are estimated to yield USD 4.8m annualised.</w:t>
      </w:r>
    </w:p>
    <w:p>
      <w:pPr>
        <w:pStyle w:val="ListBullet"/>
      </w:pPr>
      <w:r>
        <w:rPr>
          <w:sz w:val="22"/>
        </w:rPr>
        <w:t>One safety observation reported in April, no LTI year to date.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2. Project Update: Awak Mas Ramp-up</w:t>
      </w:r>
    </w:p>
    <w:p>
      <w:pPr>
        <w:pStyle w:val="ListBullet"/>
      </w:pPr>
      <w:r>
        <w:rPr>
          <w:sz w:val="22"/>
        </w:rPr>
        <w:t>Site works: earthworks 62 percent complete against plan of 65 percent, minor delay attributed to unseasonal rainfall in April.</w:t>
      </w:r>
    </w:p>
    <w:p>
      <w:pPr>
        <w:pStyle w:val="ListBullet"/>
      </w:pPr>
      <w:r>
        <w:rPr>
          <w:sz w:val="22"/>
        </w:rPr>
        <w:t>Process plant civils on track for October 2026 handover.</w:t>
      </w:r>
    </w:p>
    <w:p>
      <w:pPr>
        <w:pStyle w:val="ListBullet"/>
      </w:pPr>
      <w:r>
        <w:rPr>
          <w:sz w:val="22"/>
        </w:rPr>
        <w:t>Grid connection MOU executed with PLN, energisation window Q1 2027.</w:t>
      </w:r>
    </w:p>
    <w:p>
      <w:pPr>
        <w:pStyle w:val="ListBullet"/>
      </w:pPr>
      <w:r>
        <w:rPr>
          <w:sz w:val="22"/>
        </w:rPr>
        <w:t>AMDAL compliance monitoring reports lodged on schedule, no material findings.</w:t>
      </w:r>
    </w:p>
    <w:p>
      <w:pPr>
        <w:pStyle w:val="ListBullet"/>
      </w:pPr>
      <w:r>
        <w:rPr>
          <w:sz w:val="22"/>
        </w:rPr>
        <w:t>Community grievance log: 3 grievances raised, 2 resolved, 1 in progress (land access clarification, Ranteballa).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3. Commercial &amp; Vendor Book</w:t>
      </w:r>
    </w:p>
    <w:p>
      <w:pPr>
        <w:pStyle w:val="ListBullet"/>
      </w:pPr>
      <w:r>
        <w:rPr>
          <w:sz w:val="22"/>
        </w:rPr>
        <w:t>Total active contracts: 210. Total contract value under management: USD 348m over the current terms.</w:t>
      </w:r>
    </w:p>
    <w:p>
      <w:pPr>
        <w:pStyle w:val="ListBullet"/>
      </w:pPr>
      <w:r>
        <w:rPr>
          <w:sz w:val="22"/>
        </w:rPr>
        <w:t>Contracts up for renewal in the next 90 days: 42.</w:t>
      </w:r>
    </w:p>
    <w:p>
      <w:pPr>
        <w:pStyle w:val="ListBullet"/>
      </w:pPr>
      <w:r>
        <w:rPr>
          <w:sz w:val="22"/>
        </w:rPr>
        <w:t>Single-source exposure: 47 contracts flagged. HIGH concern: explosives, cloud infrastructure, VSAT telecoms.</w:t>
      </w:r>
    </w:p>
    <w:p>
      <w:pPr>
        <w:pStyle w:val="ListBullet"/>
      </w:pPr>
      <w:r>
        <w:rPr>
          <w:sz w:val="22"/>
        </w:rPr>
        <w:t>Auto-renew clauses without opt-out notice: 68 contracts. Recommendation to Board: adopt a standing policy of 60-day opt-out notice on every renewal.</w:t>
      </w:r>
    </w:p>
    <w:p>
      <w:pPr>
        <w:pStyle w:val="ListBullet"/>
      </w:pPr>
      <w:r>
        <w:rPr>
          <w:sz w:val="22"/>
        </w:rPr>
        <w:t>Foreign-currency exposure: USD 92m of contract value in non-IDR terms. FX hedging strategy to be tabled at the September Board.</w:t>
      </w:r>
    </w:p>
    <w:p>
      <w:pPr>
        <w:pStyle w:val="ListBullet"/>
      </w:pPr>
      <w:r>
        <w:rPr>
          <w:sz w:val="22"/>
        </w:rPr>
        <w:t>Estimated annualised savings from top 10 renegotiation targets: USD 4.8m.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4. Financial Update</w:t>
      </w:r>
    </w:p>
    <w:p>
      <w:pPr>
        <w:pStyle w:val="ListBullet"/>
      </w:pPr>
      <w:r>
        <w:rPr>
          <w:sz w:val="22"/>
        </w:rPr>
        <w:t>Cash on balance sheet: USD 148m at 30 June 2026.</w:t>
      </w:r>
    </w:p>
    <w:p>
      <w:pPr>
        <w:pStyle w:val="ListBullet"/>
      </w:pPr>
      <w:r>
        <w:rPr>
          <w:sz w:val="22"/>
        </w:rPr>
        <w:t>Bridge facility drawn: USD 40m (Bank Mandiri, signed February 2026).</w:t>
      </w:r>
    </w:p>
    <w:p>
      <w:pPr>
        <w:pStyle w:val="ListBullet"/>
      </w:pPr>
      <w:r>
        <w:rPr>
          <w:sz w:val="22"/>
        </w:rPr>
        <w:t>Forecast cash-out to first pour: USD 235m, funded 63 percent equity, 37 percent debt.</w:t>
      </w:r>
    </w:p>
    <w:p>
      <w:pPr>
        <w:pStyle w:val="ListBullet"/>
      </w:pPr>
      <w:r>
        <w:rPr>
          <w:sz w:val="22"/>
        </w:rPr>
        <w:t>Gold price sensitivity: at USD 2650/oz NPV holds at USD 610m; at USD 2400/oz NPV holds at USD 480m; at USD 2200/oz NPV falls to USD 340m.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5. Safety, Environment, Community (SEC)</w:t>
      </w:r>
    </w:p>
    <w:p>
      <w:pPr>
        <w:pStyle w:val="ListBullet"/>
      </w:pPr>
      <w:r>
        <w:rPr>
          <w:sz w:val="22"/>
        </w:rPr>
        <w:t>LTIFR year to date: 0.0. TRIFR year to date: 0.42 (target 0.50).</w:t>
      </w:r>
    </w:p>
    <w:p>
      <w:pPr>
        <w:pStyle w:val="ListBullet"/>
      </w:pPr>
      <w:r>
        <w:rPr>
          <w:sz w:val="22"/>
        </w:rPr>
        <w:t>One high-potential incident (near miss) in May, root cause and corrective action closed.</w:t>
      </w:r>
    </w:p>
    <w:p>
      <w:pPr>
        <w:pStyle w:val="ListBullet"/>
      </w:pPr>
      <w:r>
        <w:rPr>
          <w:sz w:val="22"/>
        </w:rPr>
        <w:t>Progressive rehabilitation: 12 hectares planted, target 18 hectares for calendar year.</w:t>
      </w:r>
    </w:p>
    <w:p>
      <w:pPr>
        <w:pStyle w:val="ListBullet"/>
      </w:pPr>
      <w:r>
        <w:rPr>
          <w:sz w:val="22"/>
        </w:rPr>
        <w:t>Community programs funded this quarter: 8 (scholarship, vocational training, health outreach, water access).</w:t>
      </w:r>
    </w:p>
    <w:p>
      <w:pPr>
        <w:pStyle w:val="ListBullet"/>
      </w:pPr>
      <w:r>
        <w:rPr>
          <w:sz w:val="22"/>
        </w:rPr>
        <w:t>Meeting with Bupati Luwu scheduled for 12 August 2026, courtesy call plus scholarship handover.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6. Regulatory &amp; Government Relations</w:t>
      </w:r>
    </w:p>
    <w:p>
      <w:pPr>
        <w:pStyle w:val="ListBullet"/>
      </w:pPr>
      <w:r>
        <w:rPr>
          <w:sz w:val="22"/>
        </w:rPr>
        <w:t>IUPK production licence renewal window opens Q4 2027, secretariat has begun documentation preparation.</w:t>
      </w:r>
    </w:p>
    <w:p>
      <w:pPr>
        <w:pStyle w:val="ListBullet"/>
      </w:pPr>
      <w:r>
        <w:rPr>
          <w:sz w:val="22"/>
        </w:rPr>
        <w:t>Local content ratio (TKDN) currently at 72 percent, target 78 percent by first pour.</w:t>
      </w:r>
    </w:p>
    <w:p>
      <w:pPr>
        <w:pStyle w:val="ListBullet"/>
      </w:pPr>
      <w:r>
        <w:rPr>
          <w:sz w:val="22"/>
        </w:rPr>
        <w:t>Downstream policy: no smelter obligation for gold under current regulation, monitored quarterly.</w:t>
      </w:r>
    </w:p>
    <w:p>
      <w:pPr>
        <w:pStyle w:val="ListBullet"/>
      </w:pPr>
      <w:r>
        <w:rPr>
          <w:sz w:val="22"/>
        </w:rPr>
        <w:t>Royalty regime: sliding scale from 3.75 percent to 4.00 percent at higher gold price, modelled in the financial base case.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7. IT &amp; Digital</w:t>
      </w:r>
    </w:p>
    <w:p>
      <w:pPr>
        <w:pStyle w:val="ListBullet"/>
      </w:pPr>
      <w:r>
        <w:rPr>
          <w:sz w:val="22"/>
        </w:rPr>
        <w:t>Microsoft 365 Copilot pilot: 40 seats deployed across GM office, Finance, Commercial, Ops. Adoption rate 82 percent weekly active users.</w:t>
      </w:r>
    </w:p>
    <w:p>
      <w:pPr>
        <w:pStyle w:val="ListBullet"/>
      </w:pPr>
      <w:r>
        <w:rPr>
          <w:sz w:val="22"/>
        </w:rPr>
        <w:t>Enterprise Data Protection posture reviewed, no exceptions.</w:t>
      </w:r>
    </w:p>
    <w:p>
      <w:pPr>
        <w:pStyle w:val="ListBullet"/>
      </w:pPr>
      <w:r>
        <w:rPr>
          <w:sz w:val="22"/>
        </w:rPr>
        <w:t>Data centre migration: primary workloads on Azure, secondary DR site with Alibaba Cloud, review scheduled Q4.</w:t>
      </w:r>
    </w:p>
    <w:p>
      <w:pPr>
        <w:pStyle w:val="ListBullet"/>
      </w:pPr>
      <w:r>
        <w:rPr>
          <w:sz w:val="22"/>
        </w:rPr>
        <w:t>ERP: SAP Mining implementation in blueprint phase, go-live target Q2 2027.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8. Risk Register (top 10)</w:t>
      </w:r>
    </w:p>
    <w:p>
      <w:pPr>
        <w:pStyle w:val="ListBullet"/>
      </w:pPr>
      <w:r>
        <w:rPr>
          <w:sz w:val="22"/>
        </w:rPr>
        <w:t>R01 Gold price falls below USD 2200 sustained: financial impact HIGH, likelihood MEDIUM, mitigation via hedging policy.</w:t>
      </w:r>
    </w:p>
    <w:p>
      <w:pPr>
        <w:pStyle w:val="ListBullet"/>
      </w:pPr>
      <w:r>
        <w:rPr>
          <w:sz w:val="22"/>
        </w:rPr>
        <w:t>R02 Delay to first pour beyond Q4 2027: HIGH, LOW, mitigation via critical path management.</w:t>
      </w:r>
    </w:p>
    <w:p>
      <w:pPr>
        <w:pStyle w:val="ListBullet"/>
      </w:pPr>
      <w:r>
        <w:rPr>
          <w:sz w:val="22"/>
        </w:rPr>
        <w:t>R03 Community grievance escalation: MEDIUM, MEDIUM, mitigation via community relations plan.</w:t>
      </w:r>
    </w:p>
    <w:p>
      <w:pPr>
        <w:pStyle w:val="ListBullet"/>
      </w:pPr>
      <w:r>
        <w:rPr>
          <w:sz w:val="22"/>
        </w:rPr>
        <w:t>R04 Single-source explosives supply disruption: HIGH, LOW, mitigation via secondary supplier qualification.</w:t>
      </w:r>
    </w:p>
    <w:p>
      <w:pPr>
        <w:pStyle w:val="ListBullet"/>
      </w:pPr>
      <w:r>
        <w:rPr>
          <w:sz w:val="22"/>
        </w:rPr>
        <w:t>R05 Regulatory reinterpretation of IUPK terms: HIGH, LOW, mitigation via legal counsel engagement.</w:t>
      </w:r>
    </w:p>
    <w:p>
      <w:pPr>
        <w:pStyle w:val="ListBullet"/>
      </w:pPr>
      <w:r>
        <w:rPr>
          <w:sz w:val="22"/>
        </w:rPr>
        <w:t>R06 FX movement IDR/USD &gt; 10 percent: MEDIUM, MEDIUM, mitigation via hedging policy.</w:t>
      </w:r>
    </w:p>
    <w:p>
      <w:pPr>
        <w:pStyle w:val="ListBullet"/>
      </w:pPr>
      <w:r>
        <w:rPr>
          <w:sz w:val="22"/>
        </w:rPr>
        <w:t>R07 Cyber incident on operational technology: HIGH, LOW, mitigation via segmentation and IR runbook.</w:t>
      </w:r>
    </w:p>
    <w:p>
      <w:pPr>
        <w:pStyle w:val="ListBullet"/>
      </w:pPr>
      <w:r>
        <w:rPr>
          <w:sz w:val="22"/>
        </w:rPr>
        <w:t>R08 Key contractor default (drilling): MEDIUM, LOW, mitigation via performance bond.</w:t>
      </w:r>
    </w:p>
    <w:p>
      <w:pPr>
        <w:pStyle w:val="ListBullet"/>
      </w:pPr>
      <w:r>
        <w:rPr>
          <w:sz w:val="22"/>
        </w:rPr>
        <w:t>R09 Weather event disruption: MEDIUM, MEDIUM, mitigation via schedule buffer.</w:t>
      </w:r>
    </w:p>
    <w:p>
      <w:pPr>
        <w:pStyle w:val="ListBullet"/>
      </w:pPr>
      <w:r>
        <w:rPr>
          <w:sz w:val="22"/>
        </w:rPr>
        <w:t>R10 Board or shareholder dispute: LOW, LOW, mitigation via clear reserved matters schedule.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9. Decisions Requested from the Board</w:t>
      </w:r>
    </w:p>
    <w:p>
      <w:pPr>
        <w:pStyle w:val="ListBullet"/>
      </w:pPr>
      <w:r>
        <w:rPr>
          <w:sz w:val="22"/>
        </w:rPr>
        <w:t>Approve the top 10 vendor renegotiation programme with a mandate to complete within 60 days.</w:t>
      </w:r>
    </w:p>
    <w:p>
      <w:pPr>
        <w:pStyle w:val="ListBullet"/>
      </w:pPr>
      <w:r>
        <w:rPr>
          <w:sz w:val="22"/>
        </w:rPr>
        <w:t>Approve the standing policy of 60-day opt-out notice on all renewal clauses.</w:t>
      </w:r>
    </w:p>
    <w:p>
      <w:pPr>
        <w:pStyle w:val="ListBullet"/>
      </w:pPr>
      <w:r>
        <w:rPr>
          <w:sz w:val="22"/>
        </w:rPr>
        <w:t>Note the safety, environment, community update. No decision required.</w:t>
      </w:r>
    </w:p>
    <w:p>
      <w:pPr>
        <w:pStyle w:val="ListBullet"/>
      </w:pPr>
      <w:r>
        <w:rPr>
          <w:sz w:val="22"/>
        </w:rPr>
        <w:t>Approve the community program spend for the second half of the calendar year (USD 350k).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br w:type="page"/>
      </w:r>
    </w:p>
    <w:p>
      <w:r>
        <w:rPr>
          <w:b/>
          <w:color w:val="4A3728"/>
          <w:sz w:val="32"/>
        </w:rPr>
        <w:t>10. Appendix</w:t>
      </w:r>
    </w:p>
    <w:p>
      <w:pPr>
        <w:pStyle w:val="ListBullet"/>
      </w:pPr>
      <w:r>
        <w:rPr>
          <w:sz w:val="22"/>
        </w:rPr>
        <w:t>A1. Feasibility Study extract, gold price sensitivity table.</w:t>
      </w:r>
    </w:p>
    <w:p>
      <w:pPr>
        <w:pStyle w:val="ListBullet"/>
      </w:pPr>
      <w:r>
        <w:rPr>
          <w:sz w:val="22"/>
        </w:rPr>
        <w:t>A2. Vendor contract book summary, category by priority band.</w:t>
      </w:r>
    </w:p>
    <w:p>
      <w:pPr>
        <w:pStyle w:val="ListBullet"/>
      </w:pPr>
      <w:r>
        <w:rPr>
          <w:sz w:val="22"/>
        </w:rPr>
        <w:t>A3. Community grievance log (redacted).</w:t>
      </w:r>
    </w:p>
    <w:p>
      <w:pPr>
        <w:pStyle w:val="ListBullet"/>
      </w:pPr>
      <w:r>
        <w:rPr>
          <w:sz w:val="22"/>
        </w:rPr>
        <w:t>A4. Safety data pack, incident log.</w:t>
      </w:r>
    </w:p>
    <w:p>
      <w:pPr>
        <w:pStyle w:val="ListBullet"/>
      </w:pPr>
      <w:r>
        <w:rPr>
          <w:sz w:val="22"/>
        </w:rPr>
        <w:t>A5. Regulatory correspondence log, quarter to date.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p>
      <w:r>
        <w:rPr>
          <w:sz w:val="22"/>
        </w:rPr>
        <w:t>Further detail is provided in the accompanying appendix. Board members are invited to raise any questions ahead of the meeting via the Corporate Secretariat.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