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Hesti Wibowo</w:t>
      </w:r>
    </w:p>
    <w:p>
      <w:r>
        <w:rPr>
          <w:sz w:val="22"/>
        </w:rPr>
        <w:t>Target role: Senior Geologist</w:t>
      </w:r>
    </w:p>
    <w:p>
      <w:r>
        <w:rPr>
          <w:sz w:val="22"/>
        </w:rPr>
        <w:t>Location: Jakarta · WNI · Available: Immediately</w:t>
      </w:r>
    </w:p>
    <w:p>
      <w:r>
        <w:rPr>
          <w:sz w:val="22"/>
        </w:rPr>
        <w:t>Email: hesti.wibowo@example.co.id · Mobile: +62 866682016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Fifteen years mineral resource and reserve modelling across epithermal gold, porphyry copper-gold and Carlin-style systems.</w:t>
      </w:r>
    </w:p>
    <w:p>
      <w:pPr>
        <w:pStyle w:val="ListBullet"/>
      </w:pPr>
      <w:r>
        <w:rPr>
          <w:sz w:val="22"/>
        </w:rPr>
        <w:t>Registered CompetentPerson under KCMI Code. Strong Leapfrog, Datamine and Micromine skills.</w:t>
      </w:r>
    </w:p>
    <w:p>
      <w:pPr>
        <w:pStyle w:val="ListBullet"/>
      </w:pPr>
      <w:r>
        <w:rPr>
          <w:sz w:val="22"/>
        </w:rPr>
        <w:t>Delivered Feasibility Study contributions on two ASX and one IDX listed gold projects.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2022-present · Principal Geologist · PT J Resources Asia Pasifik, Bakan</w:t>
      </w:r>
    </w:p>
    <w:p>
      <w:pPr>
        <w:pStyle w:val="ListBullet"/>
      </w:pPr>
      <w:r>
        <w:rPr>
          <w:sz w:val="22"/>
        </w:rPr>
        <w:t>Led ore reserve model update, incorporated 480 new drillhole assays.</w:t>
      </w:r>
    </w:p>
    <w:p>
      <w:pPr>
        <w:pStyle w:val="ListBullet"/>
      </w:pPr>
      <w:r>
        <w:rPr>
          <w:sz w:val="22"/>
        </w:rPr>
        <w:t>Reconciliation of grade against mill feed within plus/minus 5 percent.</w:t>
      </w:r>
    </w:p>
    <w:p>
      <w:pPr>
        <w:pStyle w:val="ListBullet"/>
      </w:pPr>
      <w:r>
        <w:rPr>
          <w:sz w:val="22"/>
        </w:rPr>
        <w:t>Prepared quarterly reserves and resources disclosure under KCMI.</w:t>
      </w:r>
    </w:p>
    <w:p>
      <w:r>
        <w:rPr>
          <w:b/>
          <w:sz w:val="22"/>
        </w:rPr>
        <w:t>2017-2022 · Senior Geologist · PT Antam Tbk, Pongkor</w:t>
      </w:r>
    </w:p>
    <w:p>
      <w:pPr>
        <w:pStyle w:val="ListBullet"/>
      </w:pPr>
      <w:r>
        <w:rPr>
          <w:sz w:val="22"/>
        </w:rPr>
        <w:t>Managed exploration drilling program across 3 concession blocks.</w:t>
      </w:r>
    </w:p>
    <w:p>
      <w:pPr>
        <w:pStyle w:val="ListBullet"/>
      </w:pPr>
      <w:r>
        <w:rPr>
          <w:sz w:val="22"/>
        </w:rPr>
        <w:t>Delivered mineral resource statement (Measured + Indicated) increase of 260 koz.</w:t>
      </w:r>
    </w:p>
    <w:p>
      <w:pPr>
        <w:pStyle w:val="ListBullet"/>
      </w:pPr>
      <w:r>
        <w:rPr>
          <w:sz w:val="22"/>
        </w:rPr>
        <w:t>Peer reviewed technical reports for Board and JORC compliance.</w:t>
      </w:r>
    </w:p>
    <w:p>
      <w:r>
        <w:rPr>
          <w:b/>
          <w:sz w:val="22"/>
        </w:rPr>
        <w:t>2011-2017 · Geologist · PT Newmont Nusa Tenggara</w:t>
      </w:r>
    </w:p>
    <w:p>
      <w:pPr>
        <w:pStyle w:val="ListBullet"/>
      </w:pPr>
      <w:r>
        <w:rPr>
          <w:sz w:val="22"/>
        </w:rPr>
        <w:t>Core logging, sampling, QAQC across brownfield exploration.</w:t>
      </w:r>
    </w:p>
    <w:p>
      <w:pPr>
        <w:pStyle w:val="ListBullet"/>
      </w:pPr>
      <w:r>
        <w:rPr>
          <w:sz w:val="22"/>
        </w:rPr>
        <w:t>Contributed to Preliminary Feasibility Study geology chapter.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S2 Geology, Curtin University WA</w:t>
      </w:r>
    </w:p>
    <w:p>
      <w:pPr>
        <w:pStyle w:val="ListBullet"/>
      </w:pPr>
      <w:r>
        <w:rPr>
          <w:sz w:val="22"/>
        </w:rPr>
        <w:t>S1 Geologi,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KCMI Competent Person</w:t>
      </w:r>
    </w:p>
    <w:p>
      <w:pPr>
        <w:pStyle w:val="ListBullet"/>
      </w:pPr>
      <w:r>
        <w:rPr>
          <w:sz w:val="22"/>
        </w:rPr>
        <w:t>SEG Member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(conversational)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