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36"/>
        </w:rPr>
        <w:t>Nurul Izzah binti Azmi</w:t>
      </w:r>
    </w:p>
    <w:p>
      <w:pPr>
        <w:jc w:val="center"/>
      </w:pPr>
      <w:r>
        <w:rPr>
          <w:color w:val="64748B"/>
          <w:sz w:val="20"/>
        </w:rPr>
        <w:t>nurulizzah.azmi@email.com  |  +60 12-345 6789  |  LinkedIn: linkedin.com/in/nurul-izzah-binti-azmi</w:t>
      </w:r>
    </w:p>
    <w:p/>
    <w:p>
      <w:pPr>
        <w:pStyle w:val="Heading2"/>
      </w:pPr>
      <w:r>
        <w:rPr>
          <w:color w:val="064E3B"/>
        </w:rPr>
        <w:t>Profile Summary</w:t>
      </w:r>
    </w:p>
    <w:p>
      <w:r>
        <w:t>Senior HR Business Partner with 8 years of progressive experience in group HR functions within diversified Government-Linked Companies (GLCs), specialising in Employment Act 1955 (EA 1955) compliance, Industrial Relations (IR) case management, and strategic workforce planning. Chartered MIHRM member with a strong track record of leading HR transformation projects and managing complex disciplinary and Domestic Inquiry cases at the group level.</w:t>
      </w:r>
    </w:p>
    <w:p>
      <w:pPr>
        <w:pStyle w:val="Heading2"/>
      </w:pPr>
      <w:r>
        <w:rPr>
          <w:color w:val="064E3B"/>
        </w:rPr>
        <w:t>Work Experience</w:t>
      </w:r>
    </w:p>
    <w:p>
      <w:r>
        <w:rPr>
          <w:b/>
          <w:sz w:val="24"/>
        </w:rPr>
        <w:t>Senior HR Business Partner  |  UEM Group Berhad, Kuala Lumpur</w:t>
      </w:r>
    </w:p>
    <w:p>
      <w:r>
        <w:rPr>
          <w:color w:val="64748B"/>
        </w:rPr>
        <w:t>January 2021 – Present  (4 years)</w:t>
      </w:r>
    </w:p>
    <w:p>
      <w:pPr>
        <w:pStyle w:val="ListBullet"/>
      </w:pPr>
      <w:r>
        <w:t>Business partner to 3 business units (1,200 headcount combined), covering full employee lifecycle from recruitment through exit.</w:t>
      </w:r>
    </w:p>
    <w:p>
      <w:pPr>
        <w:pStyle w:val="ListBullet"/>
      </w:pPr>
      <w:r>
        <w:t>Led the 2023 group-wide HR policy review to align all 14 subsidiaries with EA 1955 (2022 amendments), including maternity leave, FWA S.60P, and working hours provisions.</w:t>
      </w:r>
    </w:p>
    <w:p>
      <w:pPr>
        <w:pStyle w:val="ListBullet"/>
      </w:pPr>
      <w:r>
        <w:t>Managed 22 disciplinary cases in FY2024, including 4 Domestic Inquiries, achieving zero Industrial Court referrals through procedurally sound process execution.</w:t>
      </w:r>
    </w:p>
    <w:p>
      <w:pPr>
        <w:pStyle w:val="ListBullet"/>
      </w:pPr>
      <w:r>
        <w:t>Implemented structured 90-day onboarding programme reducing 6-month attrition among new hires by 31%.</w:t>
      </w:r>
    </w:p>
    <w:p/>
    <w:p>
      <w:r>
        <w:rPr>
          <w:b/>
          <w:sz w:val="24"/>
        </w:rPr>
        <w:t>HR Business Partner  |  Sime Darby Berhad, Petaling Jaya</w:t>
      </w:r>
    </w:p>
    <w:p>
      <w:r>
        <w:rPr>
          <w:color w:val="64748B"/>
        </w:rPr>
        <w:t>March 2017 – December 2020  (3 years 10 months)</w:t>
      </w:r>
    </w:p>
    <w:p>
      <w:pPr>
        <w:pStyle w:val="ListBullet"/>
      </w:pPr>
      <w:r>
        <w:t>Managed recruitment for 8–12 roles per quarter across the Industrial and Logistics division.</w:t>
      </w:r>
    </w:p>
    <w:p>
      <w:pPr>
        <w:pStyle w:val="ListBullet"/>
      </w:pPr>
      <w:r>
        <w:t>Coordinated annual salary review for 320 employees; presented pay benchmarking analysis to Division HR Director.</w:t>
      </w:r>
    </w:p>
    <w:p>
      <w:pPr>
        <w:pStyle w:val="ListBullet"/>
      </w:pPr>
      <w:r>
        <w:t>Supported restructuring of 200-person business unit during divestment, including SOCSO/EIS benefit briefings and retrenchment entitlement calculations per EA 1955 Second Schedule.</w:t>
      </w:r>
    </w:p>
    <w:p/>
    <w:p>
      <w:pPr>
        <w:pStyle w:val="Heading2"/>
      </w:pPr>
      <w:r>
        <w:rPr>
          <w:color w:val="064E3B"/>
        </w:rPr>
        <w:t>Education</w:t>
      </w:r>
    </w:p>
    <w:p>
      <w:r>
        <w:t>Bachelor of Human Resource Management (Hons)  |  Universiti Teknologi MARA (UiTM), Shah Alam  |  2013–2016  |  CGPA 3.71 / 4.00</w:t>
      </w:r>
    </w:p>
    <w:p>
      <w:r>
        <w:t>Sijil Pelajaran Malaysia (SPM)  |  Sekolah Menengah Kebangsaan Damansara Jaya  |  2010</w:t>
      </w:r>
    </w:p>
    <w:p>
      <w:pPr>
        <w:pStyle w:val="Heading2"/>
      </w:pPr>
      <w:r>
        <w:rPr>
          <w:color w:val="064E3B"/>
        </w:rPr>
        <w:t>Certifications &amp; Professional Memberships</w:t>
      </w:r>
    </w:p>
    <w:p>
      <w:pPr>
        <w:pStyle w:val="ListBullet"/>
      </w:pPr>
      <w:r>
        <w:t>Chartered Member, Malaysian Institute of Human Resource Management (MIHRM)  |  Since 2019</w:t>
      </w:r>
    </w:p>
    <w:p>
      <w:pPr>
        <w:pStyle w:val="ListBullet"/>
      </w:pPr>
      <w:r>
        <w:t>Certificate in Industrial Relations Practice  |  Malaysian Employers Federation (MEF)  |  2020</w:t>
      </w:r>
    </w:p>
    <w:p>
      <w:pPr>
        <w:pStyle w:val="ListBullet"/>
      </w:pPr>
      <w:r>
        <w:t>HRD Corp Train-the-Trainer (TTT) Certification  |  2018</w:t>
      </w:r>
    </w:p>
    <w:p>
      <w:pPr>
        <w:pStyle w:val="ListBullet"/>
      </w:pPr>
      <w:r>
        <w:t>Employment Act 1955 Masterclass  |  Human Resources Development Institute  |  2022</w:t>
      </w:r>
    </w:p>
    <w:p>
      <w:pPr>
        <w:pStyle w:val="Heading2"/>
      </w:pPr>
      <w:r>
        <w:rPr>
          <w:color w:val="064E3B"/>
        </w:rPr>
        <w:t>Core Skills</w:t>
      </w:r>
    </w:p>
    <w:p>
      <w:r>
        <w:t>Employment Act 1955 &amp; IRA 1967  ·  IR &amp; Disciplinary Case Management  ·  Salary Benchmarking &amp; C&amp;B  ·  Talent Acquisition  ·  HRMS (SAP SuccessFactors)  ·  People Analytics  ·  Bahasa Malaysia &amp;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