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36"/>
        </w:rPr>
        <w:t>Dr. Chong Mei Lin</w:t>
      </w:r>
    </w:p>
    <w:p>
      <w:pPr>
        <w:jc w:val="center"/>
      </w:pPr>
      <w:r>
        <w:rPr>
          <w:color w:val="64748B"/>
          <w:sz w:val="20"/>
        </w:rPr>
        <w:t>drcmeiling@email.com  |  +60 12-789 0123  |  LinkedIn: linkedin.com/in/dr-chong-mei-lin</w:t>
      </w:r>
    </w:p>
    <w:p/>
    <w:p>
      <w:pPr>
        <w:pStyle w:val="Heading2"/>
      </w:pPr>
      <w:r>
        <w:rPr>
          <w:color w:val="064E3B"/>
        </w:rPr>
        <w:t>Profile Summary</w:t>
      </w:r>
    </w:p>
    <w:p>
      <w:r>
        <w:t>Senior HR executive with 15 years of Group CHRO and HR Director-level experience across listed Government-Linked Companies and MNCs, combining academic rigour (PhD, Human Resource Management) with hands-on delivery across the full HR spectrum. Seeking a Senior HRBP role for personal reasons not stated in this application; committed to contributing at a business-unit level and mentoring junior HR talent.</w:t>
      </w:r>
    </w:p>
    <w:p>
      <w:pPr>
        <w:pStyle w:val="Heading2"/>
      </w:pPr>
      <w:r>
        <w:rPr>
          <w:color w:val="064E3B"/>
        </w:rPr>
        <w:t>Work Experience</w:t>
      </w:r>
    </w:p>
    <w:p>
      <w:r>
        <w:rPr>
          <w:b/>
          <w:sz w:val="24"/>
        </w:rPr>
        <w:t>Group Chief Human Resources Officer (CHRO)  |  Boustead Holdings Berhad, Kuala Lumpur</w:t>
      </w:r>
    </w:p>
    <w:p>
      <w:r>
        <w:rPr>
          <w:color w:val="64748B"/>
        </w:rPr>
        <w:t>April 2018 – December 2024  (6 years 9 months)</w:t>
      </w:r>
    </w:p>
    <w:p>
      <w:pPr>
        <w:pStyle w:val="ListBullet"/>
      </w:pPr>
      <w:r>
        <w:t>Led Group HR function for a listed GLC with 8,000 employees across 12 subsidiaries.</w:t>
      </w:r>
    </w:p>
    <w:p>
      <w:pPr>
        <w:pStyle w:val="ListBullet"/>
      </w:pPr>
      <w:r>
        <w:t>Designed and executed two major workforce restructuring exercises (2019 and 2022), each involving 300+ affected employees, with zero successful Industrial Court challenges.</w:t>
      </w:r>
    </w:p>
    <w:p>
      <w:pPr>
        <w:pStyle w:val="ListBullet"/>
      </w:pPr>
      <w:r>
        <w:t>Established Group HR governance framework covering EA 1955 compliance, IR policy, total rewards, and talent development.</w:t>
      </w:r>
    </w:p>
    <w:p>
      <w:pPr>
        <w:pStyle w:val="ListBullet"/>
      </w:pPr>
      <w:r>
        <w:t>Board-level reporting on people strategy, diversity metrics, and succession pipeline.</w:t>
      </w:r>
    </w:p>
    <w:p/>
    <w:p>
      <w:r>
        <w:rPr>
          <w:b/>
          <w:sz w:val="24"/>
        </w:rPr>
        <w:t>HR Director  |  Celcom Axiata Berhad, Kuala Lumpur</w:t>
      </w:r>
    </w:p>
    <w:p>
      <w:r>
        <w:rPr>
          <w:color w:val="64748B"/>
        </w:rPr>
        <w:t>July 2013 – March 2018  (4 years 9 months)</w:t>
      </w:r>
    </w:p>
    <w:p>
      <w:pPr>
        <w:pStyle w:val="ListBullet"/>
      </w:pPr>
      <w:r>
        <w:t>Directed HR for 2,200-employee telecoms organisation; led merger HR integration workstream following Axiata Group restructuring.</w:t>
      </w:r>
    </w:p>
    <w:p>
      <w:pPr>
        <w:pStyle w:val="ListBullet"/>
      </w:pPr>
      <w:r>
        <w:t>Introduced competency-based performance framework adopted across 5 Axiata subsidiaries in the region.</w:t>
      </w:r>
    </w:p>
    <w:p/>
    <w:p>
      <w:r>
        <w:rPr>
          <w:b/>
          <w:sz w:val="24"/>
        </w:rPr>
        <w:t>Senior HR Manager  |  RHB Banking Group, Kuala Lumpur</w:t>
      </w:r>
    </w:p>
    <w:p>
      <w:r>
        <w:rPr>
          <w:color w:val="64748B"/>
        </w:rPr>
        <w:t>January 2010 – June 2013  (3 years 6 months)</w:t>
      </w:r>
    </w:p>
    <w:p>
      <w:pPr>
        <w:pStyle w:val="ListBullet"/>
      </w:pPr>
      <w:r>
        <w:t>Led talent acquisition and C&amp;B review for Group Banking division.</w:t>
      </w:r>
    </w:p>
    <w:p/>
    <w:p>
      <w:pPr>
        <w:pStyle w:val="Heading2"/>
      </w:pPr>
      <w:r>
        <w:rPr>
          <w:color w:val="064E3B"/>
        </w:rPr>
        <w:t>Education</w:t>
      </w:r>
    </w:p>
    <w:p>
      <w:r>
        <w:t>Doctor of Philosophy (PhD), Human Resource Management  |  Universiti Kebangsaan Malaysia (UKM)  |  2007–2012</w:t>
      </w:r>
    </w:p>
    <w:p>
      <w:r>
        <w:t>Master of Business Administration (MBA), HRM Specialisation  |  Universiti Malaya (UM)  |  2005–2007</w:t>
      </w:r>
    </w:p>
    <w:p>
      <w:r>
        <w:t>Bachelor of Business Administration (Hons), HR  |  Universiti Putra Malaysia (UPM)  |  2000–2004  |  First Class Honours</w:t>
      </w:r>
    </w:p>
    <w:p>
      <w:pPr>
        <w:pStyle w:val="Heading2"/>
      </w:pPr>
      <w:r>
        <w:rPr>
          <w:color w:val="064E3B"/>
        </w:rPr>
        <w:t>Certifications &amp; Professional Memberships</w:t>
      </w:r>
    </w:p>
    <w:p>
      <w:pPr>
        <w:pStyle w:val="ListBullet"/>
      </w:pPr>
      <w:r>
        <w:t>Fellow Member, Malaysian Institute of Human Resource Management (MIHRM)</w:t>
      </w:r>
    </w:p>
    <w:p>
      <w:pPr>
        <w:pStyle w:val="ListBullet"/>
      </w:pPr>
      <w:r>
        <w:t>CIPD Level 7 Advanced Award (People Management)  |  Chartered Institute of Personnel and Development</w:t>
      </w:r>
    </w:p>
    <w:p>
      <w:pPr>
        <w:pStyle w:val="ListBullet"/>
      </w:pPr>
      <w:r>
        <w:t>Certified Management Consultant (CMC)  |  Institut Konsultan Malaysia</w:t>
      </w:r>
    </w:p>
    <w:p>
      <w:pPr>
        <w:pStyle w:val="ListBullet"/>
      </w:pPr>
      <w:r>
        <w:t>Board Director Certification  |  Malaysian Directors Academy (MINDA)  |  2021</w:t>
      </w:r>
    </w:p>
    <w:p>
      <w:pPr>
        <w:pStyle w:val="Heading2"/>
      </w:pPr>
      <w:r>
        <w:rPr>
          <w:color w:val="064E3B"/>
        </w:rPr>
        <w:t>Core Skills</w:t>
      </w:r>
    </w:p>
    <w:p>
      <w:r>
        <w:t>HR Strategy &amp; Board-Level Advisory  ·  Workforce Restructuring &amp; VSS  ·  Industrial Relations &amp; Employment Law  ·  Total Rewards &amp; C&amp;B Architecture  ·  Talent &amp; Succession Management  ·  HR Analytics &amp; People Metrics  ·  English, Bahasa Malaysia, Mandarin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