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59669"/>
        </w:rPr>
        <w:t>Job Description</w:t>
        <w:br/>
        <w:t>Senior HR Business Partner (HRBP)</w:t>
      </w:r>
    </w:p>
    <w:p>
      <w:r>
        <w:t>Contoso Malaysia Sdn. Bhd.  |  Group Human Resources  |  Kuala Lumpur</w:t>
      </w:r>
    </w:p>
    <w:p/>
    <w:p>
      <w:pPr>
        <w:pStyle w:val="Heading2"/>
      </w:pPr>
      <w:r>
        <w:rPr>
          <w:color w:val="064E3B"/>
        </w:rPr>
        <w:t>1. Job Title &amp; Level</w:t>
      </w:r>
    </w:p>
    <w:p>
      <w:r>
        <w:t>Senior HR Business Partner (HRBP)</w:t>
        <w:br/>
        <w:t>Grade: M5 (Manager Band)  |  Type: Permanent, Full-Time</w:t>
      </w:r>
    </w:p>
    <w:p>
      <w:pPr>
        <w:pStyle w:val="Heading2"/>
      </w:pPr>
      <w:r>
        <w:rPr>
          <w:color w:val="064E3B"/>
        </w:rPr>
        <w:t>2. Department &amp; Reporting Line</w:t>
      </w:r>
    </w:p>
    <w:p>
      <w:r>
        <w:t>Department: Group Human Resources</w:t>
        <w:br/>
        <w:t>Reports to: Group HR Director</w:t>
        <w:br/>
        <w:t>Direct reports: 1–2 HR Executive(s)</w:t>
      </w:r>
    </w:p>
    <w:p>
      <w:pPr>
        <w:pStyle w:val="Heading2"/>
      </w:pPr>
      <w:r>
        <w:rPr>
          <w:color w:val="064E3B"/>
        </w:rPr>
        <w:t>3. Role Summary</w:t>
      </w:r>
    </w:p>
    <w:p>
      <w:r>
        <w:t>The Senior HR Business Partner serves as a strategic people partner to two or three business units within the Contoso Malaysia Group, covering the full employee lifecycle from attraction through exit. The incumbent is the primary HR point of contact for business unit heads, translating people strategies into operational actions that directly support business performance. This role requires deep knowledge of Malaysian employment law and the ability to navigate complex employee relations, compensation, and talent matters with sound judgment and speed.</w:t>
      </w:r>
    </w:p>
    <w:p>
      <w:pPr>
        <w:pStyle w:val="Heading2"/>
      </w:pPr>
      <w:r>
        <w:rPr>
          <w:color w:val="064E3B"/>
        </w:rPr>
        <w:t>4. Key Responsibilities</w:t>
      </w:r>
    </w:p>
    <w:p>
      <w:pPr>
        <w:pStyle w:val="ListBullet"/>
      </w:pPr>
      <w:r>
        <w:t>Partner with business unit heads to deliver talent acquisition, workforce planning, and succession initiatives aligned to annual business targets.</w:t>
      </w:r>
    </w:p>
    <w:p>
      <w:pPr>
        <w:pStyle w:val="ListBullet"/>
      </w:pPr>
      <w:r>
        <w:t>Lead end-to-end recruitment cycles for mid- to senior-level roles: job scoping, sourcing, structured interviewing, offer management, and onboarding.</w:t>
      </w:r>
    </w:p>
    <w:p>
      <w:pPr>
        <w:pStyle w:val="ListBullet"/>
      </w:pPr>
      <w:r>
        <w:t>Advise line managers on performance management including goal-setting, PIP design, and performance improvement conversations, ensuring compliance with IRA 1967.</w:t>
      </w:r>
    </w:p>
    <w:p>
      <w:pPr>
        <w:pStyle w:val="ListBullet"/>
      </w:pPr>
      <w:r>
        <w:t>Manage disciplinary and grievance cases in accordance with Employment Act 1955 (EA 1955), Industrial Relations Act 1967 (IRA 1967), and company policy, including preparation of Show Cause Letters and Domestic Inquiry documentation.</w:t>
      </w:r>
    </w:p>
    <w:p>
      <w:pPr>
        <w:pStyle w:val="ListBullet"/>
      </w:pPr>
      <w:r>
        <w:t>Support the annual compensation review cycle: benchmarking, merit modelling, and implementation for assigned business units.</w:t>
      </w:r>
    </w:p>
    <w:p>
      <w:pPr>
        <w:pStyle w:val="ListBullet"/>
      </w:pPr>
      <w:r>
        <w:t>Ensure statutory HR compliance including EPF, SOCSO, EIS, HRD Corp levy, and adherence to Minimum Wages Order 2024 (RM1,700/month).</w:t>
      </w:r>
    </w:p>
    <w:p>
      <w:pPr>
        <w:pStyle w:val="ListBullet"/>
      </w:pPr>
      <w:r>
        <w:t>Analyse HR data and produce business-unit-level people dashboards covering headcount, attrition, absenteeism, and IR metrics for CHRO and business unit director review.</w:t>
      </w:r>
    </w:p>
    <w:p>
      <w:pPr>
        <w:pStyle w:val="ListBullet"/>
      </w:pPr>
      <w:r>
        <w:t>Drive employee engagement initiatives and exit interview analysis to identify attrition root causes and recommend evidence-based retention actions.</w:t>
      </w:r>
    </w:p>
    <w:p>
      <w:pPr>
        <w:pStyle w:val="Heading2"/>
      </w:pPr>
      <w:r>
        <w:rPr>
          <w:color w:val="064E3B"/>
        </w:rPr>
        <w:t>5. Requirements</w:t>
      </w:r>
    </w:p>
    <w:p>
      <w:r>
        <w:t>Must Have:</w:t>
      </w:r>
    </w:p>
    <w:p>
      <w:pPr>
        <w:pStyle w:val="ListBullet"/>
      </w:pPr>
      <w:r>
        <w:t>Bachelor's Degree in Human Resource Management, Business Administration, or related field from an MQA-accredited institution.</w:t>
      </w:r>
    </w:p>
    <w:p>
      <w:pPr>
        <w:pStyle w:val="ListBullet"/>
      </w:pPr>
      <w:r>
        <w:t>Minimum 6 years of HR generalist or HRBP experience, with at least 3 years in a Government-Linked Company (GLC) or large diversified conglomerate.</w:t>
      </w:r>
    </w:p>
    <w:p>
      <w:pPr>
        <w:pStyle w:val="ListBullet"/>
      </w:pPr>
      <w:r>
        <w:t>Demonstrated working knowledge of Employment Act 1955 (EA 1955) including 2022 amendments, Industrial Relations Act 1967 (IRA 1967), and EPF/SOCSO/EIS compliance.</w:t>
      </w:r>
    </w:p>
    <w:p>
      <w:pPr>
        <w:pStyle w:val="ListBullet"/>
      </w:pPr>
      <w:r>
        <w:t>Proven track record in managing disciplinary cases, Domestic Inquiries, and Industrial Relations matters independently.</w:t>
      </w:r>
    </w:p>
    <w:p>
      <w:pPr>
        <w:pStyle w:val="ListBullet"/>
      </w:pPr>
      <w:r>
        <w:t>Strong analytical skills with ability to produce people analytics and compensation models using Excel or equivalent tools.</w:t>
      </w:r>
    </w:p>
    <w:p>
      <w:r>
        <w:t>Good to Have:</w:t>
      </w:r>
    </w:p>
    <w:p>
      <w:pPr>
        <w:pStyle w:val="ListBullet"/>
      </w:pPr>
      <w:r>
        <w:t>Membership with Malaysian Institute of Human Resource Management (MIHRM) or Chartered Institute of Personnel and Development (CIPD).</w:t>
      </w:r>
    </w:p>
    <w:p>
      <w:pPr>
        <w:pStyle w:val="ListBullet"/>
      </w:pPr>
      <w:r>
        <w:t>Experience in HR transformation, restructuring, or large-scale VSS/retrenchment exercises.</w:t>
      </w:r>
    </w:p>
    <w:p>
      <w:pPr>
        <w:pStyle w:val="ListBullet"/>
      </w:pPr>
      <w:r>
        <w:t>HRD Corp-certified trainer or experience coordinating HRD Corp-claimable training programmes.</w:t>
      </w:r>
    </w:p>
    <w:p>
      <w:pPr>
        <w:pStyle w:val="ListBullet"/>
      </w:pPr>
      <w:r>
        <w:t>Proficiency in HRMS platforms (SAP SuccessFactors, Oracle HCM, or equivalent).</w:t>
      </w:r>
    </w:p>
    <w:p>
      <w:pPr>
        <w:pStyle w:val="ListBullet"/>
      </w:pPr>
      <w:r>
        <w:t>Bilingual: Bahasa Malaysia and English, spoken and written.</w:t>
      </w:r>
    </w:p>
    <w:p>
      <w:pPr>
        <w:pStyle w:val="Heading2"/>
      </w:pPr>
      <w:r>
        <w:rPr>
          <w:color w:val="064E3B"/>
        </w:rPr>
        <w:t>6. What We Offer</w:t>
      </w:r>
    </w:p>
    <w:p>
      <w:pPr>
        <w:pStyle w:val="ListBullet"/>
      </w:pPr>
      <w:r>
        <w:t>Competitive market salary benchmarked to P50–P60 for diversified GLC sector in Klang Valley.</w:t>
      </w:r>
    </w:p>
    <w:p>
      <w:pPr>
        <w:pStyle w:val="ListBullet"/>
      </w:pPr>
      <w:r>
        <w:t>Annual performance bonus (2–5 months subject to company and individual performance).</w:t>
      </w:r>
    </w:p>
    <w:p>
      <w:pPr>
        <w:pStyle w:val="ListBullet"/>
      </w:pPr>
      <w:r>
        <w:t>Comprehensive benefits: EPF at statutory rate, SOCSO, EIS, medical coverage for employee and dependants, and group personal accident insurance.</w:t>
      </w:r>
    </w:p>
    <w:p>
      <w:pPr>
        <w:pStyle w:val="ListBullet"/>
      </w:pPr>
      <w:r>
        <w:t>HRD Corp-funded professional development, MIHRM membership sponsorship, and clear career progression to Principal HRBP or HR Manager.</w:t>
      </w:r>
    </w:p>
    <w:p>
      <w:pPr>
        <w:pStyle w:val="Heading2"/>
      </w:pPr>
      <w:r>
        <w:rPr>
          <w:color w:val="064E3B"/>
        </w:rPr>
        <w:t>7. Compliance Note — Employment Act 1955 S.60L</w:t>
      </w:r>
    </w:p>
    <w:p>
      <w:r>
        <w:t>Contoso Malaysia assesses all candidates strictly on merit, qualifications, and competency. In compliance with Employment Act 1955 Section 60L (Anti-Discrimination), no selection criteria based on gender, age, marital status, religion, race, or national origin will be applied at any stage of this recruitment process. Candidates with disabilities are encouraged to apply and reasonable accommodations will be provided during the interview process on request.</w:t>
      </w:r>
    </w:p>
    <w:p/>
    <w:p>
      <w:pPr>
        <w:jc w:val="center"/>
      </w:pPr>
      <w:r>
        <w:rPr>
          <w:color w:val="64748B"/>
          <w:sz w:val="18"/>
        </w:rPr>
        <w:t>Contoso Malaysia Sdn. Bhd.  |  CONFIDENTIAL — For Internal Recruitment Use Only  |  Version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