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5296"/>
        </w:rPr>
        <w:t>Contoso Malaysia</w:t>
      </w:r>
    </w:p>
    <w:p>
      <w:pPr>
        <w:pStyle w:val="Heading1"/>
      </w:pPr>
      <w:r>
        <w:rPr>
          <w:color w:val="0F5296"/>
        </w:rPr>
        <w:t>Employee Benefits &amp; Claims Guide</w:t>
      </w:r>
    </w:p>
    <w:p>
      <w:r>
        <w:t>Effective Date: 1 January 2025  |  Version 1.8  |  Group Human Resources</w:t>
      </w:r>
    </w:p>
    <w:p>
      <w:r>
        <w:t>This guide covers the benefits available to confirmed full-time employees of Contoso Malaysia and the process to claim them.</w:t>
      </w:r>
    </w:p>
    <w:p>
      <w:pPr>
        <w:pStyle w:val="Heading2"/>
      </w:pPr>
      <w:r>
        <w:t>1. Medical Benefits</w:t>
      </w:r>
    </w:p>
    <w:p>
      <w:r>
        <w:t>Outpatient Medical: Employees and their registered dependants (spouse and up to 3 children under age 18) are covered under the company panel clinic network.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Annual Limit</w:t>
            </w:r>
          </w:p>
        </w:tc>
        <w:tc>
          <w:tcPr>
            <w:tcW w:type="dxa" w:w="2880"/>
          </w:tcPr>
          <w:p>
            <w:r>
              <w:rPr>
                <w:b/>
              </w:rPr>
              <w:t>Notes</w:t>
            </w:r>
          </w:p>
        </w:tc>
      </w:tr>
      <w:tr>
        <w:tc>
          <w:tcPr>
            <w:tcW w:type="dxa" w:w="2880"/>
          </w:tcPr>
          <w:p>
            <w:r>
              <w:t>Employee (outpatient)</w:t>
            </w:r>
          </w:p>
        </w:tc>
        <w:tc>
          <w:tcPr>
            <w:tcW w:type="dxa" w:w="2880"/>
          </w:tcPr>
          <w:p>
            <w:r>
              <w:t>RM 2,500</w:t>
            </w:r>
          </w:p>
        </w:tc>
        <w:tc>
          <w:tcPr>
            <w:tcW w:type="dxa" w:w="2880"/>
          </w:tcPr>
          <w:p>
            <w:r>
              <w:t>Panel clinics: cashless. Non-panel: reimburse RM 80/visit cap.</w:t>
            </w:r>
          </w:p>
        </w:tc>
      </w:tr>
      <w:tr>
        <w:tc>
          <w:tcPr>
            <w:tcW w:type="dxa" w:w="2880"/>
          </w:tcPr>
          <w:p>
            <w:r>
              <w:t>Dependant (outpatient)</w:t>
            </w:r>
          </w:p>
        </w:tc>
        <w:tc>
          <w:tcPr>
            <w:tcW w:type="dxa" w:w="2880"/>
          </w:tcPr>
          <w:p>
            <w:r>
              <w:t>RM 1,000 per dependant</w:t>
            </w:r>
          </w:p>
        </w:tc>
        <w:tc>
          <w:tcPr>
            <w:tcW w:type="dxa" w:w="2880"/>
          </w:tcPr>
          <w:p>
            <w:r>
              <w:t>Registered dependants only.</w:t>
            </w:r>
          </w:p>
        </w:tc>
      </w:tr>
      <w:tr>
        <w:tc>
          <w:tcPr>
            <w:tcW w:type="dxa" w:w="2880"/>
          </w:tcPr>
          <w:p>
            <w:r>
              <w:t>Specialist / Referral</w:t>
            </w:r>
          </w:p>
        </w:tc>
        <w:tc>
          <w:tcPr>
            <w:tcW w:type="dxa" w:w="2880"/>
          </w:tcPr>
          <w:p>
            <w:r>
              <w:t>RM 5,000</w:t>
            </w:r>
          </w:p>
        </w:tc>
        <w:tc>
          <w:tcPr>
            <w:tcW w:type="dxa" w:w="2880"/>
          </w:tcPr>
          <w:p>
            <w:r>
              <w:t>Panel specialist only. GP referral letter required.</w:t>
            </w:r>
          </w:p>
        </w:tc>
      </w:tr>
      <w:tr>
        <w:tc>
          <w:tcPr>
            <w:tcW w:type="dxa" w:w="2880"/>
          </w:tcPr>
          <w:p>
            <w:r>
              <w:t>Hospitalisation</w:t>
            </w:r>
          </w:p>
        </w:tc>
        <w:tc>
          <w:tcPr>
            <w:tcW w:type="dxa" w:w="2880"/>
          </w:tcPr>
          <w:p>
            <w:r>
              <w:t>RM 50,000 per year</w:t>
            </w:r>
          </w:p>
        </w:tc>
        <w:tc>
          <w:tcPr>
            <w:tcW w:type="dxa" w:w="2880"/>
          </w:tcPr>
          <w:p>
            <w:r>
              <w:t>Group hospitalisation &amp; surgical insurance. See Section 5.</w:t>
            </w:r>
          </w:p>
        </w:tc>
      </w:tr>
    </w:tbl>
    <w:p>
      <w:pPr>
        <w:pStyle w:val="Heading2"/>
      </w:pPr>
      <w:r>
        <w:t>2. Dental &amp; Optical Benefits</w:t>
      </w:r>
    </w:p>
    <w:p>
      <w:r>
        <w:t>Dental: RM 600 per year for employee only. Covers scaling, fillings, extractions. Cosmetic dental (veneers, whitening) is excluded.</w:t>
      </w:r>
    </w:p>
    <w:p>
      <w:r>
        <w:t>Optical: RM 400 per year for employee only. Covers prescription glasses, contact lenses, or eye examination. Claims must be supported by an optometrist or ophthalmologist receipt.</w:t>
      </w:r>
    </w:p>
    <w:p>
      <w:r>
        <w:t>How to claim: Submit claim form (HR-CLAIM-02) with original receipts to HR within 60 days of incurring the expense.</w:t>
      </w:r>
    </w:p>
    <w:p>
      <w:pPr>
        <w:pStyle w:val="Heading2"/>
      </w:pPr>
      <w:r>
        <w:t>3. Mileage Claims</w:t>
      </w:r>
    </w:p>
    <w:p>
      <w:r>
        <w:t>Employees using personal vehicles for approved official travel (client visits, off-site meetings) are reimbursed at:</w:t>
      </w:r>
    </w:p>
    <w:tbl>
      <w:tblPr>
        <w:tblStyle w:val="TableGrid"/>
        <w:tblW w:type="auto" w:w="0"/>
        <w:tblLook w:firstColumn="1" w:firstRow="1" w:lastColumn="0" w:lastRow="0" w:noHBand="0" w:noVBand="1" w:val="04A0"/>
      </w:tblPr>
      <w:tblGrid>
        <w:gridCol w:w="4320"/>
        <w:gridCol w:w="4320"/>
      </w:tblGrid>
      <w:tr>
        <w:tc>
          <w:tcPr>
            <w:tcW w:type="dxa" w:w="4320"/>
          </w:tcPr>
          <w:p>
            <w:r>
              <w:rPr>
                <w:b/>
              </w:rPr>
              <w:t>Vehicle Type</w:t>
            </w:r>
          </w:p>
        </w:tc>
        <w:tc>
          <w:tcPr>
            <w:tcW w:type="dxa" w:w="4320"/>
          </w:tcPr>
          <w:p>
            <w:r>
              <w:rPr>
                <w:b/>
              </w:rPr>
              <w:t>Rate per km</w:t>
            </w:r>
          </w:p>
        </w:tc>
      </w:tr>
      <w:tr>
        <w:tc>
          <w:tcPr>
            <w:tcW w:type="dxa" w:w="4320"/>
          </w:tcPr>
          <w:p>
            <w:r>
              <w:t>Car (engine capacity above 1,600cc)</w:t>
            </w:r>
          </w:p>
        </w:tc>
        <w:tc>
          <w:tcPr>
            <w:tcW w:type="dxa" w:w="4320"/>
          </w:tcPr>
          <w:p>
            <w:r>
              <w:t>RM 0.55</w:t>
            </w:r>
          </w:p>
        </w:tc>
      </w:tr>
      <w:tr>
        <w:tc>
          <w:tcPr>
            <w:tcW w:type="dxa" w:w="4320"/>
          </w:tcPr>
          <w:p>
            <w:r>
              <w:t>Car (engine capacity 1,600cc and below)</w:t>
            </w:r>
          </w:p>
        </w:tc>
        <w:tc>
          <w:tcPr>
            <w:tcW w:type="dxa" w:w="4320"/>
          </w:tcPr>
          <w:p>
            <w:r>
              <w:t>RM 0.45</w:t>
            </w:r>
          </w:p>
        </w:tc>
      </w:tr>
      <w:tr>
        <w:tc>
          <w:tcPr>
            <w:tcW w:type="dxa" w:w="4320"/>
          </w:tcPr>
          <w:p>
            <w:r>
              <w:t>Motorcycle</w:t>
            </w:r>
          </w:p>
        </w:tc>
        <w:tc>
          <w:tcPr>
            <w:tcW w:type="dxa" w:w="4320"/>
          </w:tcPr>
          <w:p>
            <w:r>
              <w:t>RM 0.25</w:t>
            </w:r>
          </w:p>
        </w:tc>
      </w:tr>
    </w:tbl>
    <w:p>
      <w:r>
        <w:t>How to claim: Submit HR-CLAIM-03 (Mileage Claim Form) with the purpose of travel, route, and odometer readings. Claims must be submitted within 30 days of the travel date. Commuting from home to the regular office is not claimable.</w:t>
      </w:r>
    </w:p>
    <w:p>
      <w:pPr>
        <w:pStyle w:val="Heading2"/>
      </w:pPr>
      <w:r>
        <w:t>4. Overtime Claims</w:t>
      </w:r>
    </w:p>
    <w:p>
      <w:r>
        <w:t>Overtime is applicable only to employees in Grade M1–M4 who are covered under the EA 1955 wage threshold. Grade M5 and above are not eligible for overtime pay.</w:t>
      </w:r>
    </w:p>
    <w:tbl>
      <w:tblPr>
        <w:tblStyle w:val="TableGrid"/>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OT Rate (per EA 1955)</w:t>
            </w:r>
          </w:p>
        </w:tc>
      </w:tr>
      <w:tr>
        <w:tc>
          <w:tcPr>
            <w:tcW w:type="dxa" w:w="4320"/>
          </w:tcPr>
          <w:p>
            <w:r>
              <w:t>Normal working day (beyond contracted hours)</w:t>
            </w:r>
          </w:p>
        </w:tc>
        <w:tc>
          <w:tcPr>
            <w:tcW w:type="dxa" w:w="4320"/>
          </w:tcPr>
          <w:p>
            <w:r>
              <w:t>1.5x hourly rate</w:t>
            </w:r>
          </w:p>
        </w:tc>
      </w:tr>
      <w:tr>
        <w:tc>
          <w:tcPr>
            <w:tcW w:type="dxa" w:w="4320"/>
          </w:tcPr>
          <w:p>
            <w:r>
              <w:t>Rest day (first 8 hours)</w:t>
            </w:r>
          </w:p>
        </w:tc>
        <w:tc>
          <w:tcPr>
            <w:tcW w:type="dxa" w:w="4320"/>
          </w:tcPr>
          <w:p>
            <w:r>
              <w:t>1 day's wage</w:t>
            </w:r>
          </w:p>
        </w:tc>
      </w:tr>
      <w:tr>
        <w:tc>
          <w:tcPr>
            <w:tcW w:type="dxa" w:w="4320"/>
          </w:tcPr>
          <w:p>
            <w:r>
              <w:t>Rest day (beyond 8 hours)</w:t>
            </w:r>
          </w:p>
        </w:tc>
        <w:tc>
          <w:tcPr>
            <w:tcW w:type="dxa" w:w="4320"/>
          </w:tcPr>
          <w:p>
            <w:r>
              <w:t>2x hourly rate</w:t>
            </w:r>
          </w:p>
        </w:tc>
      </w:tr>
      <w:tr>
        <w:tc>
          <w:tcPr>
            <w:tcW w:type="dxa" w:w="4320"/>
          </w:tcPr>
          <w:p>
            <w:r>
              <w:t>Public holiday</w:t>
            </w:r>
          </w:p>
        </w:tc>
        <w:tc>
          <w:tcPr>
            <w:tcW w:type="dxa" w:w="4320"/>
          </w:tcPr>
          <w:p>
            <w:r>
              <w:t>3x hourly rate</w:t>
            </w:r>
          </w:p>
        </w:tc>
      </w:tr>
    </w:tbl>
    <w:p>
      <w:r>
        <w:t>Overtime must be pre-approved by the line manager in writing before it is incurred. Retrospective approval is not permitted. Submit HR-CLAIM-04 with manager approval email attached.</w:t>
      </w:r>
    </w:p>
    <w:p>
      <w:pPr>
        <w:pStyle w:val="Heading2"/>
      </w:pPr>
      <w:r>
        <w:t>5. Group Insurance Benefits</w:t>
      </w:r>
    </w:p>
    <w:p>
      <w:r>
        <w:rPr>
          <w:b/>
        </w:rPr>
        <w:t xml:space="preserve">Group Hospitalisation &amp; Surgical (GHS): </w:t>
      </w:r>
      <w:r>
        <w:t>RM 50,000 per year. Covers inpatient treatment, ICU, surgery, day care procedures. Employee and registered dependants.</w:t>
      </w:r>
    </w:p>
    <w:p>
      <w:r>
        <w:rPr>
          <w:b/>
        </w:rPr>
        <w:t xml:space="preserve">Group Term Life (GTL): </w:t>
      </w:r>
      <w:r>
        <w:t>2 x annual basic salary. Payable to the employee's named beneficiary in the event of death.</w:t>
      </w:r>
    </w:p>
    <w:p>
      <w:r>
        <w:rPr>
          <w:b/>
        </w:rPr>
        <w:t xml:space="preserve">Group Personal Accident (GPA): </w:t>
      </w:r>
      <w:r>
        <w:t>2 x annual basic salary. Covers accidental death and permanent disablement 24 hours a day, worldwide.</w:t>
      </w:r>
    </w:p>
    <w:p>
      <w:r>
        <w:t>All insurance claims are managed through AIA Malaysia. Contact Group HR at hr@contoso.com.my to initiate a claim.</w:t>
      </w:r>
    </w:p>
    <w:p>
      <w:pPr>
        <w:pStyle w:val="Heading2"/>
      </w:pPr>
      <w:r>
        <w:t>6. Training &amp; Development</w:t>
      </w:r>
    </w:p>
    <w:p>
      <w:r>
        <w:t>Confirmed employees are entitled to RM 2,000 per calendar year for external training, courses, or professional certifications relevant to their role.</w:t>
      </w:r>
    </w:p>
    <w:p>
      <w:r>
        <w:t>Process: Submit a Training Approval Form (HR-TRAIN-01) to the line manager and Group HR at least 14 days before the course start date. Upon completion, submit original receipts and attendance certificate for reimbursement.</w:t>
      </w:r>
    </w:p>
    <w:p>
      <w:pPr>
        <w:pStyle w:val="Heading2"/>
      </w:pPr>
      <w:r>
        <w:t>7. Claims Submission Deadlines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 Type</w:t>
            </w:r>
          </w:p>
        </w:tc>
        <w:tc>
          <w:tcPr>
            <w:tcW w:type="dxa" w:w="2880"/>
          </w:tcPr>
          <w:p>
            <w:r>
              <w:rPr>
                <w:b/>
              </w:rPr>
              <w:t>Form</w:t>
            </w:r>
          </w:p>
        </w:tc>
        <w:tc>
          <w:tcPr>
            <w:tcW w:type="dxa" w:w="2880"/>
          </w:tcPr>
          <w:p>
            <w:r>
              <w:rPr>
                <w:b/>
              </w:rPr>
              <w:t>Submission Deadline</w:t>
            </w:r>
          </w:p>
        </w:tc>
      </w:tr>
      <w:tr>
        <w:tc>
          <w:tcPr>
            <w:tcW w:type="dxa" w:w="2880"/>
          </w:tcPr>
          <w:p>
            <w:r>
              <w:t>Medical / Dental / Optical</w:t>
            </w:r>
          </w:p>
        </w:tc>
        <w:tc>
          <w:tcPr>
            <w:tcW w:type="dxa" w:w="2880"/>
          </w:tcPr>
          <w:p>
            <w:r>
              <w:t>HR-CLAIM-02</w:t>
            </w:r>
          </w:p>
        </w:tc>
        <w:tc>
          <w:tcPr>
            <w:tcW w:type="dxa" w:w="2880"/>
          </w:tcPr>
          <w:p>
            <w:r>
              <w:t>Within 60 days of expense</w:t>
            </w:r>
          </w:p>
        </w:tc>
      </w:tr>
      <w:tr>
        <w:tc>
          <w:tcPr>
            <w:tcW w:type="dxa" w:w="2880"/>
          </w:tcPr>
          <w:p>
            <w:r>
              <w:t>Mileage</w:t>
            </w:r>
          </w:p>
        </w:tc>
        <w:tc>
          <w:tcPr>
            <w:tcW w:type="dxa" w:w="2880"/>
          </w:tcPr>
          <w:p>
            <w:r>
              <w:t>HR-CLAIM-03</w:t>
            </w:r>
          </w:p>
        </w:tc>
        <w:tc>
          <w:tcPr>
            <w:tcW w:type="dxa" w:w="2880"/>
          </w:tcPr>
          <w:p>
            <w:r>
              <w:t>Within 30 days of travel</w:t>
            </w:r>
          </w:p>
        </w:tc>
      </w:tr>
      <w:tr>
        <w:tc>
          <w:tcPr>
            <w:tcW w:type="dxa" w:w="2880"/>
          </w:tcPr>
          <w:p>
            <w:r>
              <w:t>Overtime</w:t>
            </w:r>
          </w:p>
        </w:tc>
        <w:tc>
          <w:tcPr>
            <w:tcW w:type="dxa" w:w="2880"/>
          </w:tcPr>
          <w:p>
            <w:r>
              <w:t>HR-CLAIM-04</w:t>
            </w:r>
          </w:p>
        </w:tc>
        <w:tc>
          <w:tcPr>
            <w:tcW w:type="dxa" w:w="2880"/>
          </w:tcPr>
          <w:p>
            <w:r>
              <w:t>Within 14 days of OT incurred</w:t>
            </w:r>
          </w:p>
        </w:tc>
      </w:tr>
      <w:tr>
        <w:tc>
          <w:tcPr>
            <w:tcW w:type="dxa" w:w="2880"/>
          </w:tcPr>
          <w:p>
            <w:r>
              <w:t>Training reimbursement</w:t>
            </w:r>
          </w:p>
        </w:tc>
        <w:tc>
          <w:tcPr>
            <w:tcW w:type="dxa" w:w="2880"/>
          </w:tcPr>
          <w:p>
            <w:r>
              <w:t>HR-TRAIN-01</w:t>
            </w:r>
          </w:p>
        </w:tc>
        <w:tc>
          <w:tcPr>
            <w:tcW w:type="dxa" w:w="2880"/>
          </w:tcPr>
          <w:p>
            <w:r>
              <w:t>Within 30 days of course completion</w:t>
            </w:r>
          </w:p>
        </w:tc>
      </w:tr>
    </w:tbl>
    <w:p>
      <w:pPr>
        <w:pStyle w:val="Heading2"/>
      </w:pPr>
      <w:r>
        <w:t>8. Contact</w:t>
      </w:r>
    </w:p>
    <w:p>
      <w:r>
        <w:t>For any benefits or claims queries:</w:t>
        <w:br/>
        <w:t>Group Human Resources</w:t>
        <w:br/>
        <w:t>Email: hr@contoso.com.my</w:t>
        <w:br/>
        <w:t>Phone: +603-2100 8800 (ext 201)</w:t>
        <w:br/>
        <w:t>MyHR Portal: myhr.contoso.com.my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Malaysia Benefits &amp; Claims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