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5296"/>
        </w:rPr>
        <w:t>Contoso Malaysia</w:t>
      </w:r>
    </w:p>
    <w:p>
      <w:pPr>
        <w:pStyle w:val="Heading1"/>
      </w:pPr>
      <w:r>
        <w:rPr>
          <w:color w:val="0F5296"/>
        </w:rPr>
        <w:t>Employee Handbook</w:t>
      </w:r>
    </w:p>
    <w:p>
      <w:r>
        <w:t>Effective Date: 1 January 2025  |  Version 3.2  |  Group Human Resources</w:t>
      </w:r>
    </w:p>
    <w:p>
      <w:r>
        <w:t>This handbook applies to all employees of Contoso Malaysia Sdn. Bhd. and its subsidiaries. It is intended as a guide and does not constitute a contract of employment.</w:t>
      </w:r>
    </w:p>
    <w:p>
      <w:pPr>
        <w:pStyle w:val="Heading2"/>
      </w:pPr>
      <w:r>
        <w:t>1. Welcome from the Group CEO</w:t>
      </w:r>
    </w:p>
    <w:p>
      <w:r>
        <w:t>Welcome to Contoso Malaysia. We are a diversified conglomerate operating across property, engineering, agribusiness, and logistics. Our people are our strongest competitive advantage. This handbook sets out the policies and expectations that help us work together effectively, fairly, and with integrity.</w:t>
      </w:r>
    </w:p>
    <w:p>
      <w:pPr>
        <w:pStyle w:val="Heading2"/>
      </w:pPr>
      <w:r>
        <w:t>2. Working Hours</w:t>
      </w:r>
    </w:p>
    <w:p>
      <w:r>
        <w:t>Standard working hours are Monday to Friday, 8:30 am to 5:30 pm, with a one-hour lunch break. Total working hours are 45 hours per week, in compliance with the Employment Act 1955 (EA 1955) Section 60A maximum of 48 hours per week.</w:t>
      </w:r>
    </w:p>
    <w:p>
      <w:r>
        <w:t>Flexible working arrangements may be agreed in writing with the Head of Department and Group HR. Core hours are 10:00 am to 4:00 pm on days with a flexible arrangement in place.</w:t>
      </w:r>
    </w:p>
    <w:p>
      <w:pPr>
        <w:pStyle w:val="Heading2"/>
      </w:pPr>
      <w:r>
        <w:t>3. Code of Conduct</w:t>
      </w:r>
    </w:p>
    <w:p>
      <w:r>
        <w:t>All employees are expected to:</w:t>
      </w:r>
    </w:p>
    <w:p>
      <w:pPr>
        <w:pStyle w:val="ListBullet"/>
      </w:pPr>
      <w:r>
        <w:t>Act with honesty and integrity in all dealings, internal and external.</w:t>
      </w:r>
    </w:p>
    <w:p>
      <w:pPr>
        <w:pStyle w:val="ListBullet"/>
      </w:pPr>
      <w:r>
        <w:t>Treat all colleagues, clients, and stakeholders with respect and professionalism.</w:t>
      </w:r>
    </w:p>
    <w:p>
      <w:pPr>
        <w:pStyle w:val="ListBullet"/>
      </w:pPr>
      <w:r>
        <w:t>Safeguard confidential company information and not disclose it to unauthorised parties.</w:t>
      </w:r>
    </w:p>
    <w:p>
      <w:pPr>
        <w:pStyle w:val="ListBullet"/>
      </w:pPr>
      <w:r>
        <w:t>Declare any actual or perceived conflict of interest in writing to the line manager and Group HR.</w:t>
      </w:r>
    </w:p>
    <w:p>
      <w:pPr>
        <w:pStyle w:val="ListBullet"/>
      </w:pPr>
      <w:r>
        <w:t>Not accept gifts, entertainment, or favours that may influence business decisions beyond the approved limit of RM 100 per occasion.</w:t>
      </w:r>
    </w:p>
    <w:p>
      <w:pPr>
        <w:pStyle w:val="Heading2"/>
      </w:pPr>
      <w:r>
        <w:t>4. Dress Code</w:t>
      </w:r>
    </w:p>
    <w:p>
      <w:r>
        <w:t>Business professional attire is required Monday to Thursday. Smart casual is permitted on Fridays. Employees meeting clients or attending formal events must wear business professional attire regardless of day.</w:t>
      </w:r>
    </w:p>
    <w:p>
      <w:pPr>
        <w:pStyle w:val="Heading2"/>
      </w:pPr>
      <w:r>
        <w:t>5. Notice Periods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Length of Service</w:t>
            </w:r>
          </w:p>
        </w:tc>
        <w:tc>
          <w:tcPr>
            <w:tcW w:type="dxa" w:w="2880"/>
          </w:tcPr>
          <w:p>
            <w:r>
              <w:rPr>
                <w:b/>
              </w:rPr>
              <w:t>Employee Notice</w:t>
            </w:r>
          </w:p>
        </w:tc>
        <w:tc>
          <w:tcPr>
            <w:tcW w:type="dxa" w:w="2880"/>
          </w:tcPr>
          <w:p>
            <w:r>
              <w:rPr>
                <w:b/>
              </w:rPr>
              <w:t>Employer Notice</w:t>
            </w:r>
          </w:p>
        </w:tc>
      </w:tr>
      <w:tr>
        <w:tc>
          <w:tcPr>
            <w:tcW w:type="dxa" w:w="2880"/>
          </w:tcPr>
          <w:p>
            <w:r>
              <w:t>Less than 2 years</w:t>
            </w:r>
          </w:p>
        </w:tc>
        <w:tc>
          <w:tcPr>
            <w:tcW w:type="dxa" w:w="2880"/>
          </w:tcPr>
          <w:p>
            <w:r>
              <w:t>4 weeks</w:t>
            </w:r>
          </w:p>
        </w:tc>
        <w:tc>
          <w:tcPr>
            <w:tcW w:type="dxa" w:w="2880"/>
          </w:tcPr>
          <w:p>
            <w:r>
              <w:t>4 weeks</w:t>
            </w:r>
          </w:p>
        </w:tc>
      </w:tr>
      <w:tr>
        <w:tc>
          <w:tcPr>
            <w:tcW w:type="dxa" w:w="2880"/>
          </w:tcPr>
          <w:p>
            <w:r>
              <w:t>2 years to less than 5 years</w:t>
            </w:r>
          </w:p>
        </w:tc>
        <w:tc>
          <w:tcPr>
            <w:tcW w:type="dxa" w:w="2880"/>
          </w:tcPr>
          <w:p>
            <w:r>
              <w:t>6 weeks</w:t>
            </w:r>
          </w:p>
        </w:tc>
        <w:tc>
          <w:tcPr>
            <w:tcW w:type="dxa" w:w="2880"/>
          </w:tcPr>
          <w:p>
            <w:r>
              <w:t>6 weeks</w:t>
            </w:r>
          </w:p>
        </w:tc>
      </w:tr>
      <w:tr>
        <w:tc>
          <w:tcPr>
            <w:tcW w:type="dxa" w:w="2880"/>
          </w:tcPr>
          <w:p>
            <w:r>
              <w:t>5 years and above</w:t>
            </w:r>
          </w:p>
        </w:tc>
        <w:tc>
          <w:tcPr>
            <w:tcW w:type="dxa" w:w="2880"/>
          </w:tcPr>
          <w:p>
            <w:r>
              <w:t>8 weeks</w:t>
            </w:r>
          </w:p>
        </w:tc>
        <w:tc>
          <w:tcPr>
            <w:tcW w:type="dxa" w:w="2880"/>
          </w:tcPr>
          <w:p>
            <w:r>
              <w:t>8 weeks</w:t>
            </w:r>
          </w:p>
        </w:tc>
      </w:tr>
    </w:tbl>
    <w:p>
      <w:r>
        <w:t>Notice may be waived by mutual written agreement or by payment in lieu of notice.</w:t>
      </w:r>
    </w:p>
    <w:p>
      <w:pPr>
        <w:pStyle w:val="Heading2"/>
      </w:pPr>
      <w:r>
        <w:t>6. Disciplinary Procedures</w:t>
      </w:r>
    </w:p>
    <w:p>
      <w:r>
        <w:t>Contoso Malaysia follows a progressive disciplinary approach consistent with the requirements of natural justice under the Industrial Relations Act 1967 (IRA 1967). The standard process is:</w:t>
      </w:r>
    </w:p>
    <w:p>
      <w:pPr>
        <w:pStyle w:val="ListNumber"/>
      </w:pPr>
      <w:r>
        <w:t>Verbal counselling (for minor first offences)</w:t>
      </w:r>
    </w:p>
    <w:p>
      <w:pPr>
        <w:pStyle w:val="ListNumber"/>
      </w:pPr>
      <w:r>
        <w:t>Written warning (first formal step)</w:t>
      </w:r>
    </w:p>
    <w:p>
      <w:pPr>
        <w:pStyle w:val="ListNumber"/>
      </w:pPr>
      <w:r>
        <w:t>Final written warning</w:t>
      </w:r>
    </w:p>
    <w:p>
      <w:pPr>
        <w:pStyle w:val="ListNumber"/>
      </w:pPr>
      <w:r>
        <w:t>Show Cause Letter (SCL) and Domestic Inquiry (DI) for serious misconduct</w:t>
      </w:r>
    </w:p>
    <w:p>
      <w:pPr>
        <w:pStyle w:val="ListNumber"/>
      </w:pPr>
      <w:r>
        <w:t>Termination (following a DI finding of misconduct proven)</w:t>
      </w:r>
    </w:p>
    <w:p>
      <w:r>
        <w:t>No employee shall be dismissed without a proper DI process except in cases of gross misconduct where the employee is caught in flagrante.</w:t>
      </w:r>
    </w:p>
    <w:p>
      <w:pPr>
        <w:pStyle w:val="Heading2"/>
      </w:pPr>
      <w:r>
        <w:t>7. Grievance Procedure</w:t>
      </w:r>
    </w:p>
    <w:p>
      <w:r>
        <w:t>Any employee who has a grievance relating to their employment should raise it first with their immediate supervisor. If unresolved within five working days, the employee may escalate in writing to Group HR. Group HR will investigate and respond within ten working days.</w:t>
      </w:r>
    </w:p>
    <w:p>
      <w:pPr>
        <w:pStyle w:val="Heading2"/>
      </w:pPr>
      <w:r>
        <w:t>8. Confidentiality &amp; Data Protection</w:t>
      </w:r>
    </w:p>
    <w:p>
      <w:r>
        <w:t>All employees are bound by the Personal Data Protection Act 2010 (PDPA 2010). Employee personal data collected by the Company is used solely for employment administration purposes. Employees must not share, copy, or transmit personal data of colleagues, clients, or third parties without authorisation.</w:t>
      </w:r>
    </w:p>
    <w:p>
      <w:pPr>
        <w:pStyle w:val="Heading2"/>
      </w:pPr>
      <w:r>
        <w:t>9. Social Media Policy</w:t>
      </w:r>
    </w:p>
    <w:p>
      <w:r>
        <w:t>Employees must not post content that discloses confidential company information, disparages Contoso Malaysia, its management, clients, or partners, or brings the Company into disrepute. Employees are personally liable for their social media posts outside working hours if those posts relate to the Company.</w:t>
      </w:r>
    </w:p>
    <w:p>
      <w:pPr>
        <w:pStyle w:val="Heading2"/>
      </w:pPr>
      <w:r>
        <w:t>10. Contact</w:t>
      </w:r>
    </w:p>
    <w:p>
      <w:r>
        <w:t>Group Human Resources</w:t>
        <w:br/>
        <w:t>Contoso Malaysia Sdn. Bhd.</w:t>
        <w:br/>
        <w:t>Email: hr@contoso.com.my</w:t>
        <w:br/>
        <w:t>Phone: +603-2100 8800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Malaysia Employee Handbook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