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Integrity Bureau</w:t>
      </w:r>
    </w:p>
    <w:p>
      <w:r>
        <w:t>Coordination and Supervision Task Force - one-page brief</w:t>
      </w:r>
    </w:p>
    <w:p>
      <w:pPr>
        <w:pStyle w:val="Heading1"/>
      </w:pPr>
      <w:r>
        <w:t>Who we are</w:t>
      </w:r>
    </w:p>
    <w:p>
      <w:r>
        <w:t>Contoso Integrity Bureau is a national anti-corruption agency. The Directorate of Coordination and Supervision runs a standing Task Force that coordinates and supervises corruption case handling by prosecutors and police, and independently evaluates provincial, regency, and municipal governance for corruption anomalies in budget, procurement, and licensing.</w:t>
      </w:r>
    </w:p>
    <w:p>
      <w:pPr>
        <w:pStyle w:val="Heading1"/>
      </w:pPr>
      <w:r>
        <w:t>Two mission functions</w:t>
      </w:r>
    </w:p>
    <w:p>
      <w:pPr>
        <w:pStyle w:val="Heading2"/>
      </w:pPr>
      <w:r>
        <w:t>Enforcement</w:t>
      </w:r>
    </w:p>
    <w:p>
      <w:r>
        <w:t>Coordinate and supervise the investigation and prosecution of corruption cases handled by the Attorney General's office (Kejaksaan) and the National Police (Polri). Data inputs include SPDP Online (Notice of Commencement of Investigation) and an OSINT sweep across Indonesian news outlets that surfaces cases which have not yet been logged in SPDP.</w:t>
      </w:r>
    </w:p>
    <w:p>
      <w:pPr>
        <w:pStyle w:val="Heading2"/>
      </w:pPr>
      <w:r>
        <w:t>Prevention</w:t>
      </w:r>
    </w:p>
    <w:p>
      <w:r>
        <w:t>Evaluate provincial, regency, and municipal governance for corruption anomalies in budget execution, direct procurement, and business licensing. Quarterly disclosures from local governments are analysed for red flags such as split contracts under the direct-procurement threshold, vendor concentration, price outliers, and weekend awards.</w:t>
      </w:r>
    </w:p>
    <w:p>
      <w:pPr>
        <w:pStyle w:val="Heading1"/>
      </w:pPr>
      <w:r>
        <w:t>Persona for this immersion</w:t>
      </w:r>
    </w:p>
    <w:p>
      <w:pPr>
        <w:pStyle w:val="Heading2"/>
      </w:pPr>
      <w:r>
        <w:t>Pak Bambang Kusumo</w:t>
      </w:r>
    </w:p>
    <w:p>
      <w:r>
        <w:t>Kepala Satgas Koordinasi dan Supervisi (Head, Coordination and Supervision Task Force). Twenty-two years in anti-corruption enforcement. Chairs the Task Force weekly coordination meeting, signs supervision letters to provincial governments, and reports upwards to the Deputy for Enforcement and the Deputy for Prevention.</w:t>
      </w:r>
    </w:p>
    <w:p>
      <w:pPr>
        <w:pStyle w:val="Heading1"/>
      </w:pPr>
      <w:r>
        <w:t>What Pak Bambang uses Copilot for</w:t>
      </w:r>
    </w:p>
    <w:p>
      <w:pPr>
        <w:pStyle w:val="ListBullet"/>
      </w:pPr>
      <w:r>
        <w:t>Morning briefing pulled from inbox, calendar, Teams chats, and recent files.</w:t>
      </w:r>
    </w:p>
    <w:p>
      <w:pPr>
        <w:pStyle w:val="ListBullet"/>
      </w:pPr>
      <w:r>
        <w:t>OSINT sweep: turning news URLs into structured SPDP-ready case rows.</w:t>
      </w:r>
    </w:p>
    <w:p>
      <w:pPr>
        <w:pStyle w:val="ListBullet"/>
      </w:pPr>
      <w:r>
        <w:t>Procurement anomaly detection across quarterly disclosures.</w:t>
      </w:r>
    </w:p>
    <w:p>
      <w:pPr>
        <w:pStyle w:val="ListBullet"/>
      </w:pPr>
      <w:r>
        <w:t>Weekly Task Force minutes in the Bureau house style.</w:t>
      </w:r>
    </w:p>
    <w:p>
      <w:pPr>
        <w:pStyle w:val="ListBullet"/>
      </w:pPr>
      <w:r>
        <w:t>Governance report polish and PowerPoint auto-generation for the leadership meeting.</w:t>
      </w:r>
    </w:p>
    <w:p>
      <w:pPr>
        <w:pStyle w:val="ListBullet"/>
      </w:pPr>
      <w:r>
        <w:t>One-page governance posters for the Task Force 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