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Q3 Procurement Supervision Report</w:t>
      </w:r>
    </w:p>
    <w:p>
      <w:r>
        <w:t>Draft - internal working document - not for external distribution</w:t>
      </w:r>
    </w:p>
    <w:p>
      <w:r>
        <w:t>Prepared by: Task Force Data Analyst, reviewed by Prevention Lead, chair copy Pak Bambang Kusumo</w:t>
      </w:r>
    </w:p>
    <w:p/>
    <w:p>
      <w:pPr>
        <w:pStyle w:val="Heading1"/>
      </w:pPr>
      <w:r>
        <w:t>Introduction</w:t>
      </w:r>
    </w:p>
    <w:p>
      <w:r>
        <w:t>This report has been prepared in relation to the third-quarter procurement supervision programme which was undertaken across three targeted provincial and regency governments namely Pemprov Jawa Timur, Pemkot Medan and Pemkab Jember. The programme covers the direct-procurement disclosures which were submitted by these agencies to the Bureau in accordance with the applicable supervision protocol and covers contracts with award dates falling within the third quarter of the current fiscal year. The purpose of this report is to present the findings which have emerged from the analysis of these disclosures and to provide a basis for the subsequent supervision actions which may be considered appropriate.</w:t>
      </w:r>
    </w:p>
    <w:p>
      <w:r>
        <w:t>It should be noted that the analysis undertaken in preparation of this report is based upon the information which has been provided by the respective agencies and no independent verification of the underlying documentation has been carried out at this stage. Any findings which are presented in this report should therefore be considered as preliminary and subject to further verification through the normal supervision processes.</w:t>
      </w:r>
    </w:p>
    <w:p>
      <w:pPr>
        <w:pStyle w:val="Heading1"/>
      </w:pPr>
      <w:r>
        <w:t>Findings</w:t>
      </w:r>
    </w:p>
    <w:p>
      <w:r>
        <w:t>The analysis of the disclosures which were submitted has resulted in the identification of a number of patterns which may be considered to be of concern from a governance perspective. In particular, there appear to be a substantial number of contracts which have been awarded at values which are just below the direct-procurement threshold of two hundred million rupiah, and which have been awarded to the same vendors within relatively short time windows, which may suggest that the underlying procurement need has been split in order to remain below the threshold and thereby avoid the more competitive procurement methods which would otherwise be required.</w:t>
      </w:r>
    </w:p>
    <w:p>
      <w:r>
        <w:t>Furthermore, the analysis has identified that at Pemkot Medan there is one particular vendor, namely PT Sinar Timur Perkasa, which has been awarded a substantial proportion of the total contract value which has been recorded for that agency during the quarter under review. This concentration of contract value with a single vendor may indicate a degree of dependence which warrants further examination.</w:t>
      </w:r>
    </w:p>
    <w:p>
      <w:r>
        <w:t>In addition there is an observation which has been made regarding the pricing of the package described as procurement of health equipment for community health centres, for which the values which have been recorded across different agencies show a range which extends from approximately 780 million rupiah to approximately 2.4 billion rupiah. This range is considered wide enough to raise a question regarding whether the same nominal package specification has in fact been priced consistently.</w:t>
      </w:r>
    </w:p>
    <w:p>
      <w:pPr>
        <w:pStyle w:val="Heading1"/>
      </w:pPr>
      <w:r>
        <w:t>Vendors</w:t>
      </w:r>
    </w:p>
    <w:p>
      <w:r>
        <w:t>Two vendor pairs which appear to share a physical business address have been noted, in each case where two nominally different vendor names have been associated with the same street address in the disclosures. The relevance of a shared address is that it may indicate common beneficial ownership which would raise questions regarding the competitive nature of any procurement in which both vendors were considered.</w:t>
      </w:r>
    </w:p>
    <w:p>
      <w:r>
        <w:t>Additionally two vendors whose tax identification numbers appear to have been registered less than six months prior to their being awarded contracts of a value exceeding one billion rupiah have been noted. Awards of substantial value to newly-registered vendors are not necessarily improper but do warrant enhanced due diligence.</w:t>
      </w:r>
    </w:p>
    <w:p>
      <w:pPr>
        <w:pStyle w:val="Heading1"/>
      </w:pPr>
      <w:r>
        <w:t>Timing</w:t>
      </w:r>
    </w:p>
    <w:p>
      <w:r>
        <w:t>The analysis of award dates has resulted in the identification of five contracts which have award dates falling on a Sunday. While in itself this observation is not conclusive of any impropriety, the practice of signing contract awards on non-working days is unusual within the normal administrative rhythm of provincial and regency governments and may accordingly be considered a factor which increases the risk profile of the contracts concerned.</w:t>
      </w:r>
    </w:p>
    <w:p>
      <w:pPr>
        <w:pStyle w:val="Heading1"/>
      </w:pPr>
      <w:r>
        <w:t>Recommendation</w:t>
      </w:r>
    </w:p>
    <w:p>
      <w:r>
        <w:t>It is proposed that the Task Force considers the issuance of supervision letters to the three agencies which have been identified as having the highest concentration of the patterns described in this report, and that a follow-up review is undertaken during the fourth quarter to establish whether the patterns identified have persisted or have been ameliorated in the intervening period.</w:t>
      </w:r>
    </w:p>
    <w:p>
      <w:r>
        <w:t>The specific agencies proposed for supervision letters are Pemprov Jawa Timur, Pemkot Medan and Pemkab Malang. The proposed response window is fourteen working days from the date of issuance.</w:t>
      </w:r>
    </w:p>
    <w:p>
      <w:r>
        <w:t>End of draft.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