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Widya Ariyanti</w:t>
      </w:r>
    </w:p>
    <w:p>
      <w:r>
        <w:t>Applicant ID: Applicant_01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Green</w:t>
      </w:r>
    </w:p>
    <w:p>
      <w:pPr>
        <w:pStyle w:val="Heading1"/>
      </w:pPr>
      <w:r>
        <w:t>Background and public-service tenure</w:t>
      </w:r>
    </w:p>
    <w:p>
      <w:r>
        <w:t>Twelve years at BPK Perwakilan Jawa Timur, audit team lead. No declared conflicts. Public-service tenure 12 years.</w:t>
      </w:r>
    </w:p>
    <w:p>
      <w:pPr>
        <w:pStyle w:val="Heading1"/>
      </w:pPr>
      <w:r>
        <w:t>Declared conflicts of interest</w:t>
      </w:r>
    </w:p>
    <w:p>
      <w:r>
        <w:t>None declared. Immediate family are not employed by any provincial or regency government.</w:t>
      </w:r>
    </w:p>
    <w:p>
      <w:pPr>
        <w:pStyle w:val="Heading1"/>
      </w:pPr>
      <w:r>
        <w:t>Notes from initial screening</w:t>
      </w:r>
    </w:p>
    <w:p>
      <w:r>
        <w:t>Strong integrity references from two former BPK partners. Recognised for whistleblowing on a peer's improper timesheet claim in 2019.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