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Sinta Marpaung</w:t>
      </w:r>
    </w:p>
    <w:p>
      <w:r>
        <w:t>Applicant ID: Applicant_03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Green</w:t>
      </w:r>
    </w:p>
    <w:p>
      <w:pPr>
        <w:pStyle w:val="Heading1"/>
      </w:pPr>
      <w:r>
        <w:t>Background and public-service tenure</w:t>
      </w:r>
    </w:p>
    <w:p>
      <w:r>
        <w:t>Eight years Inspektorat Sumatera Utara, senior auditor. Public-service tenure 8 years.</w:t>
      </w:r>
    </w:p>
    <w:p>
      <w:pPr>
        <w:pStyle w:val="Heading1"/>
      </w:pPr>
      <w:r>
        <w:t>Declared conflicts of interest</w:t>
      </w:r>
    </w:p>
    <w:p>
      <w:r>
        <w:t>None declared.</w:t>
      </w:r>
    </w:p>
    <w:p>
      <w:pPr>
        <w:pStyle w:val="Heading1"/>
      </w:pPr>
      <w:r>
        <w:t>Notes from initial screening</w:t>
      </w:r>
    </w:p>
    <w:p>
      <w:r>
        <w:t>Two commendations for anti-fraud audits. Speaks fluent Bahasa Batak, useful for northern Sumatra fieldwork.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