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Applicant Integrity Profile - Made Suwardana</w:t>
      </w:r>
    </w:p>
    <w:p>
      <w:r>
        <w:t>Applicant ID: Applicant_04</w:t>
      </w:r>
    </w:p>
    <w:p>
      <w:r>
        <w:t>Role: Assistant OSINT Specialist, Coordination and Supervision Task Force</w:t>
      </w:r>
    </w:p>
    <w:p/>
    <w:p>
      <w:pPr>
        <w:pStyle w:val="Heading1"/>
      </w:pPr>
      <w:r>
        <w:t>Integrity self-rating</w:t>
      </w:r>
    </w:p>
    <w:p>
      <w:r>
        <w:t>Green</w:t>
      </w:r>
    </w:p>
    <w:p>
      <w:pPr>
        <w:pStyle w:val="Heading1"/>
      </w:pPr>
      <w:r>
        <w:t>Background and public-service tenure</w:t>
      </w:r>
    </w:p>
    <w:p>
      <w:r>
        <w:t>Eleven years at BPKP Perwakilan Bali, financial-forensics specialist. Public-service tenure 11 years.</w:t>
      </w:r>
    </w:p>
    <w:p>
      <w:pPr>
        <w:pStyle w:val="Heading1"/>
      </w:pPr>
      <w:r>
        <w:t>Declared conflicts of interest</w:t>
      </w:r>
    </w:p>
    <w:p>
      <w:r>
        <w:t>Spouse is a private-sector auditor at a Big-Four firm; conflict-of-interest register updated quarterly. No overlapping engagements.</w:t>
      </w:r>
    </w:p>
    <w:p>
      <w:pPr>
        <w:pStyle w:val="Heading1"/>
      </w:pPr>
      <w:r>
        <w:t>Notes from initial screening</w:t>
      </w:r>
    </w:p>
    <w:p>
      <w:r>
        <w:t>Strong references. Published two academic papers on financial forensics.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