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Nurul Hidayah</w:t>
      </w:r>
    </w:p>
    <w:p>
      <w:r>
        <w:t>Applicant ID: Applicant_06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Amber</w:t>
      </w:r>
    </w:p>
    <w:p>
      <w:pPr>
        <w:pStyle w:val="Heading1"/>
      </w:pPr>
      <w:r>
        <w:t>Background and public-service tenure</w:t>
      </w:r>
    </w:p>
    <w:p>
      <w:r>
        <w:t>Four years at Ministry of Home Affairs, procurement compliance. Public-service tenure 4 years.</w:t>
      </w:r>
    </w:p>
    <w:p>
      <w:pPr>
        <w:pStyle w:val="Heading1"/>
      </w:pPr>
      <w:r>
        <w:t>Declared conflicts of interest</w:t>
      </w:r>
    </w:p>
    <w:p>
      <w:r>
        <w:t>None declared.</w:t>
      </w:r>
    </w:p>
    <w:p>
      <w:pPr>
        <w:pStyle w:val="Heading1"/>
      </w:pPr>
      <w:r>
        <w:t>Notes from initial screening</w:t>
      </w:r>
    </w:p>
    <w:p>
      <w:r>
        <w:t>Technically strong but tenure below the seven-year Bureau preference. One reference cited concerns about time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