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Dewi Kartika</w:t>
      </w:r>
    </w:p>
    <w:p>
      <w:r>
        <w:t>Applicant ID: Applicant_08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Amber</w:t>
      </w:r>
    </w:p>
    <w:p>
      <w:pPr>
        <w:pStyle w:val="Heading1"/>
      </w:pPr>
      <w:r>
        <w:t>Background and public-service tenure</w:t>
      </w:r>
    </w:p>
    <w:p>
      <w:r>
        <w:t>Six years at Pemprov DKI Jakarta as staff auditor. Public-service tenure 6 years.</w:t>
      </w:r>
    </w:p>
    <w:p>
      <w:pPr>
        <w:pStyle w:val="Heading1"/>
      </w:pPr>
      <w:r>
        <w:t>Declared conflicts of interest</w:t>
      </w:r>
    </w:p>
    <w:p>
      <w:r>
        <w:t>Former line manager is now under separate SPDP investigation in an unrelated case. Applicant has not been named.</w:t>
      </w:r>
    </w:p>
    <w:p>
      <w:pPr>
        <w:pStyle w:val="Heading1"/>
      </w:pPr>
      <w:r>
        <w:t>Notes from initial screening</w:t>
      </w:r>
    </w:p>
    <w:p>
      <w:r>
        <w:t>References positive. Legal Advisor should confirm no procedural link before advancing to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